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Rechte an der Bildverarbeitung</w:t>
      </w:r>
    </w:p>
    <w:p>
      <w:pPr>
        <w:pStyle w:val="Subtitle"/>
      </w:pPr>
      <w:r>
        <w:t>Gründerkreis Schnittflug · Verhandlungsstand</w:t>
      </w:r>
    </w:p>
    <w:p>
      <w:r>
        <w:t>28. September 2026</w:t>
      </w:r>
    </w:p>
    <w:p>
      <w:r>
        <w:t>Arbeitsentwurf zwischen Kunigunde Nguyen und der künftig wirksam vertretenen Schnittflug Robotics GmbH. Der Arbeitgeberbezug des Moduls Konturpfad ist noch nicht geklärt. Deshalb enthält diese Fassung keine bereits vollzogene pauschale Übertragung und keine Bestätigung einer lastenfreien Rechtekette.</w:t>
      </w:r>
    </w:p>
    <w:p>
      <w:pPr>
        <w:pStyle w:val="Heading1"/>
      </w:pPr>
      <w:r>
        <w:t>1 Gegenstand und Verzeichnis</w:t>
      </w:r>
    </w:p>
    <w:p>
      <w:r>
        <w:t>1.1 Erfasst werden sollen das von Kunigunde entwickelte Modul Konturpfad in der Fassung vom 18. September 2026 sowie die hierzu vorhandene Dokumentation und selbst erstellte Testdaten. Der übergebene Bestand wird vor Wirksamwerden durch Repository, Commit-Kennung, Dateiliste und Lizenzverzeichnis in einer beiderseits bestätigten Anlage eindeutig bezeichnet.</w:t>
      </w:r>
    </w:p>
    <w:p>
      <w:r>
        <w:t>1.2 Bestandteile aus dem früheren oder bestehenden Arbeitsverhältnis, Open-Source-Komponenten und Datensammlungen Dritter werden getrennt ausgewiesen. Das Fehlen einer Kennzeichnung begründet keine Zusicherung freier Verfügbarkeit. Soweit die Rechtekette nicht belegt ist, wird der betreffende Bestandteil von der ausschließlichen Rechteeinräumung ausgenommen.</w:t>
      </w:r>
    </w:p>
    <w:p>
      <w:pPr>
        <w:pStyle w:val="Heading1"/>
      </w:pPr>
      <w:r>
        <w:t>2 Bedingungen der Rechteeinräumung</w:t>
      </w:r>
    </w:p>
    <w:p>
      <w:r>
        <w:t>2.1 Die Einräumung ausschließlicher Rechte setzt voraus, dass die Gesellschaft wirksam entstanden und vertreten ist, das Bestandsverzeichnis vereinbart wurde und die erforderlichen Arbeitgeberfreigaben oder sonstigen Berechtigungsnachweise vorliegen. Der Eintritt jeder Bedingung wird schriftlich dokumentiert.</w:t>
      </w:r>
    </w:p>
    <w:p>
      <w:r>
        <w:t>2.2 Kunigunde verpflichtet sich nur zur Einräumung der Rechte, über die sie tatsächlich verfügen darf. Eine fremde Rechtsposition wird nicht durch eine Gründererklärung ersetzt. Bis zur Klärung werden die betroffenen Bestandteile weder in Kundenprodukte aufgenommen noch Investoren als uneingeschränkt eigenes Vermögen präsentiert.</w:t>
      </w:r>
    </w:p>
    <w:p>
      <w:pPr>
        <w:pStyle w:val="Heading1"/>
        <w:pageBreakBefore/>
      </w:pPr>
      <w:r>
        <w:t>3 Umfang</w:t>
      </w:r>
    </w:p>
    <w:p>
      <w:r>
        <w:t>3.1 Für die wirksam einbezogenen Bestandteile räumt Kunigunde der Gesellschaft das ausschließliche, räumlich unbeschränkte und für die gesetzliche Schutzdauer bestehende Recht ein, sie zu vervielfältigen, zu bearbeiten, zu verbreiten und öffentlich zugänglich zu machen, soweit dies rechtlich zulässig ist. Die Gesellschaft darf entsprechende Nutzungsrechte im Rahmen ihres Geschäftsbetriebs an Kunden und Entwicklungspartner weitergeben.</w:t>
      </w:r>
    </w:p>
    <w:p>
      <w:r>
        <w:t>3.2 Gesetzlich nicht übertragbare Rechte und zwingende Vergütungsansprüche bleiben unberührt. Fremde Lizenzen gelten nach ihren eigenen Bedingungen und werden nicht als ausschließliche Rechte der Gesellschaft dargestellt. Die Verwendung neuer Nutzungsarten wird, soweit erforderlich, gesondert vereinbart.</w:t>
      </w:r>
    </w:p>
    <w:p>
      <w:pPr>
        <w:pStyle w:val="Heading1"/>
      </w:pPr>
      <w:r>
        <w:t>4 Gegenleistung und Kapital</w:t>
      </w:r>
    </w:p>
    <w:p>
      <w:r>
        <w:t>4.1 Eine gesonderte laufende Lizenzvergütung ist nach dem gegenwärtigen Vorschlag nicht vorgesehen. Die Parteien behandeln die Rechteeinräumung als zusätzlichen Beitrag zur gemeinsamen Entwicklung, dessen rechtliche und steuerliche Einordnung vor Abschluss gesondert abgestimmt wird.</w:t>
      </w:r>
    </w:p>
    <w:p>
      <w:r>
        <w:t>4.2 Die Verpflichtung zur Einzahlung des übernommenen Geschäftsanteils von 4.500,00 EUR bleibt vollständig bestehen. Die Rechteüberlassung wird weder auf diese Geldeinlage angerechnet noch als bereits erklärte Sacheinlage behandelt.</w:t>
      </w:r>
    </w:p>
    <w:p>
      <w:pPr>
        <w:pStyle w:val="Heading1"/>
      </w:pPr>
      <w:r>
        <w:t>5 Übergabe und Dokumentation</w:t>
      </w:r>
    </w:p>
    <w:p>
      <w:r>
        <w:t>5.1 Nach Wirksamwerden werden Quellcode, Build-Anleitung für die Software, Abhängigkeiten, Zugangsbefugnisse und die vereinbarte Dokumentation geordnet in die Gesellschaftsablage überführt. Private Zugangsdaten werden nicht als gemeinsame Unternehmenszugänge weitergenutzt.</w:t>
      </w:r>
    </w:p>
    <w:p>
      <w:r>
        <w:t>5.2 Kunigunde informiert die Gesellschaft unverzüglich über Ansprüche Dritter und erkennbare Beschränkungen. Die Parteien sichern die erforderlichen Nachweise und beraten über Austausch, Lizenzierung oder Entfernung betroffener Bestandteile. Eine Behauptung lastenfreier Übertragung darf einen offenen Arbeitgeberkonflikt nicht verdecken.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Rechte an der Bildverarbeitung</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