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Vereinbarung für die Vorgründungsphase</w:t>
      </w:r>
    </w:p>
    <w:p>
      <w:pPr>
        <w:pStyle w:val="Subtitle"/>
      </w:pPr>
      <w:r>
        <w:t>Gründerkreis Schnittflug · Verhandlungsstand</w:t>
      </w:r>
    </w:p>
    <w:p>
      <w:r>
        <w:t>23. September 2026</w:t>
      </w:r>
    </w:p>
    <w:p>
      <w:r>
        <w:t>Besprechungsfassung aller sieben Gründer vor der Beurkundung. Dieser Text ist noch nicht unterzeichnet. Er soll die Zeit der gemeinsamen Vorbereitung ordnen und ersetzt weder die spätere Satzung noch die gesonderte Prüfung bereits abgeschlossener Verträge.</w:t>
      </w:r>
    </w:p>
    <w:p>
      <w:pPr>
        <w:pStyle w:val="Heading1"/>
      </w:pPr>
      <w:r>
        <w:t>1 Gemeinsame Vorbereitung</w:t>
      </w:r>
    </w:p>
    <w:p>
      <w:r>
        <w:t>1.1 Ottilie Kühnle, Eberhard Demir, Kunigunde Nguyen, Nepomuk Huber, Wilhelmine Okafor, Alois Rossi und Thekla Ben-Ami arbeiten an der Vorbereitung der Schnittflug Robotics GmbH. Die notarielle Errichtung ist noch nicht erfolgt. Die Bezeichnung GmbH in Gründung wird bis dahin nicht zur Bezeichnung eines bereits bestehenden Rechtsträgers verwendet.</w:t>
      </w:r>
    </w:p>
    <w:p>
      <w:r>
        <w:t>1.2 Der Zweck dieser Vereinbarung ist die Abstimmung der notwendigen Vorbereitung, insbesondere Konzept, Kapitalplan, Vertragsentwürfe, Rechteprüfung und Notariatsunterlagen. Ein Kundenbetrieb mit autonomen Friseurdrohnen wird hierdurch nicht aufgenommen.</w:t>
      </w:r>
    </w:p>
    <w:p>
      <w:pPr>
        <w:pStyle w:val="Heading1"/>
      </w:pPr>
      <w:r>
        <w:t>2 Vertretung und neue Verpflichtungen</w:t>
      </w:r>
    </w:p>
    <w:p>
      <w:r>
        <w:t>2.1 Neue Verpflichtungen im Namen des gemeinsamen Gründerkreises bedürfen der vorherigen Zustimmung aller sieben Beteiligten. Niemand erhält durch seine Aufgabenbezeichnung eine alleinige Vertretungsmacht. Abweichende Vollmachten sind konkret nach Gegenstand und Umfang zu dokumentieren.</w:t>
      </w:r>
    </w:p>
    <w:p>
      <w:r>
        <w:t>2.2 Wer im eigenen Namen bestellt, bleibt gegenüber dem Vertragspartner grundsätzlich selbst verpflichtet. Eine interne Kostenbesprechung ersetzt weder eine Vertretungsvollmacht noch die Zustimmung des Vertragspartners zu einer späteren Schuldübernahme. Die rechtliche Einordnung schon abgeschlossener Vorgänge wird für jeden Vertrag gesondert geprüft.</w:t>
      </w:r>
    </w:p>
    <w:p>
      <w:pPr>
        <w:pStyle w:val="Heading1"/>
        <w:pageBreakBefore/>
      </w:pPr>
      <w:r>
        <w:t>3 Aufwendungen</w:t>
      </w:r>
    </w:p>
    <w:p>
      <w:r>
        <w:t>3.1 Die Beteiligten erfassen sämtliche Projektaufwendungen mit Besteller, Leistung, Datum, Nettobetrag, Umsatzsteuer, Bruttobetrag, Zahlungsstatus und Originalbeleg. Erstattungen werden nicht allein durch einen Eintrag im Journal ausgelöst.</w:t>
      </w:r>
    </w:p>
    <w:p>
      <w:r>
        <w:t>3.2 Über eine gemeinsame Übernahme privater Aufwendungen wird nach Belegprüfung gesondert entschieden. Bis dahin trägt jeder Besteller die von ihm eingegangene Verpflichtung. Wird die Gründung aufgegeben, entscheiden die Beteiligten über eine einvernehmliche Abrechnung; eine pauschale Nachschusspflicht wird hier nicht vereinbart.</w:t>
      </w:r>
    </w:p>
    <w:p>
      <w:pPr>
        <w:pStyle w:val="Heading1"/>
      </w:pPr>
      <w:r>
        <w:t>4 Vorarbeiten und Vertraulichkeit</w:t>
      </w:r>
    </w:p>
    <w:p>
      <w:r>
        <w:t>4.1 Jeder Beteiligte benennt die von ihm eingebrachten Gegenstände und vorbestehenden Rechte. Eigentum und Nutzungsrechte gehen durch die gemeinsame Aufbewahrung oder Verwendung nicht automatisch auf die künftige Gesellschaft über. Eine erforderliche Übertragung wird ausdrücklich vereinbart.</w:t>
      </w:r>
    </w:p>
    <w:p>
      <w:r>
        <w:t>4.2 Vertrauliche Projektunterlagen werden nur für die Vorbereitung genutzt. Rechte Dritter, Arbeitgeberpflichten und Datenschutzvorgaben bleiben einzuhalten. Bei einem erkennbaren Konflikt wird der betroffene Bestand bis zur Klärung von weiterer Nutzung ausgeschlossen.</w:t>
      </w:r>
    </w:p>
    <w:p>
      <w:pPr>
        <w:pStyle w:val="Heading1"/>
      </w:pPr>
      <w:r>
        <w:t>5 Übergang oder Abbruch</w:t>
      </w:r>
    </w:p>
    <w:p>
      <w:r>
        <w:t>5.1 Nach notarieller Errichtung werden die bestehenden Verträge in einem Überleitungsverzeichnis erfasst. Die Vorgründungsphase und die Vor-GmbH werden rechtlich getrennt behandelt. Eine Vertragsübernahme oder Genehmigung erfolgt nur nach den jeweiligen Voraussetzungen und mit erforderlicher Mitwirkung des Vertragspartners.</w:t>
      </w:r>
    </w:p>
    <w:p>
      <w:r>
        <w:t>5.2 Jeder Beteiligte kann mitteilen, dass er die Gründung nicht weiter verfolgen möchte. Daraus folgt keine automatische Übertragung seiner vorbestehenden Rechte und keine Aufhebung bereits wirksam eingegangener Verpflichtungen. Die übrigen Beteiligten dürfen eine geänderte Gründung nur mit einem neu abgestimmten Personen-, Kapital- und Rechteplan fortsetzen.</w:t>
      </w:r>
    </w:p>
    <w:p>
      <w:r>
        <w:t>5.3 Die spätere Satzung und die Gesellschaftervereinbarung werden gesondert abgeschlossen. Diese Vorbereitungsvereinbarung verpflichtet nicht zur Abtretung künftiger Geschäftsanteile und ersetzt keine gesetzlich erforderliche notarielle Form.</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für die Vorgründungsphase</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