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Serie B Kapitalerhöhung und Teilnahme</w:t>
      </w:r>
    </w:p>
    <w:p>
      <w:pPr>
        <w:pStyle w:val="Subtitle"/>
      </w:pPr>
      <w:r>
        <w:t>Gründerkreis Schnittflug · Verhandlungsstand</w:t>
      </w:r>
    </w:p>
    <w:p>
      <w:r>
        <w:t>28. September 2026</w:t>
      </w:r>
    </w:p>
    <w:p>
      <w:r>
        <w:t>Von Thekla erbetene Diskussionsfassung für ein mögliches späteres Szenario. Die Gesellschaft ist noch nicht gegründet; weder Seed noch Serie A haben stattgefunden. Dieses Papier ist kein Beschluss und keine verbindliche Investitionszusage. Ausgangspunkt ist ausschließlich das Rechenmodell mit einem nach Serie A angenommenen Stammkapital von 40.000 EUR.</w:t>
      </w:r>
    </w:p>
    <w:p>
      <w:pPr>
        <w:pStyle w:val="Heading1"/>
      </w:pPr>
      <w:r>
        <w:t>1 Geplante Eckdaten</w:t>
      </w:r>
    </w:p>
    <w:p>
      <w:r>
        <w:t>1.1 Im modellierten Serie-B-Fall soll das Stammkapital von 40.000,00 EUR um 20.000,00 EUR auf 60.000,00 EUR erhöht werden. Als neuer Investor ist die Scherenwolke Growth Fund GmbH &amp; Co. KG vorgesehen. Der Gesamtzahlungsbetrag soll 1.800.000,00 EUR betragen und sich aus 20.000,00 EUR Nennkapital sowie 1.780.000,00 EUR Agio zusammensetzen.</w:t>
      </w:r>
    </w:p>
    <w:p>
      <w:r>
        <w:t>1.2 Die Modellbewertung beträgt vor der Runde 3.600.000,00 EUR und nach der Runde 5.400.000,00 EUR. Gegenüber der zuvor angenommenen Serie-A-Bewertung ist dies eine Runde zu niedrigerer Bewertung. Die Parteien haben weder den Preis noch die Bedingungen vereinbart.</w:t>
      </w:r>
    </w:p>
    <w:p>
      <w:pPr>
        <w:pStyle w:val="Heading1"/>
      </w:pPr>
      <w:r>
        <w:t>2 Investorenposition</w:t>
      </w:r>
    </w:p>
    <w:p>
      <w:r>
        <w:t>2.1 Der Investor möchte die gesamte neue Beteiligung übernehmen und verlangt einen Ausschluss der Teilnahme der bisherigen Gesellschafter an dieser Erhöhung. Er begründet dies bislang mit einer einheitlichen Finanzierung und einem zeitlich engen Investmentfenster. Eine verbindliche Finanzierungszusage, belastbare Unternehmensbewertung und Prüfung alternativer Finanzierung liegen für dieses Planszenario nicht vor.</w:t>
      </w:r>
    </w:p>
    <w:p>
      <w:r>
        <w:t>2.2 Als weitere Verhandlungspunkte nennt der Investor einen Beiratssitz und bevorzugte Erlösverteilung. Konkrete Rechte, Schwellen und Berechnungen sind nicht vereinbart und dürfen nicht aus dem bloßen Wort Bestandsschutz oder Standardbedingungen abgeleitet werden.</w:t>
      </w:r>
    </w:p>
    <w:p>
      <w:pPr>
        <w:pStyle w:val="Heading1"/>
      </w:pPr>
      <w:r>
        <w:t>3 Gründerposition</w:t>
      </w:r>
    </w:p>
    <w:p>
      <w:r>
        <w:t>3.1 Ottilie möchte vor einer Zustimmung wissen, ob sie anteilig teilnehmen kann und welche Quote ihr bei Nichtteilnahme verbleibt. Sie widerspricht einer Verpflichtung, unabhängig von Preis und Bedingungen künftig jede Kapitalerhöhung zu unterstützen. Thekla verlangt die Offenlegung der Alternativen und der mit dem Investor verbundenen Interessenkonflikte.</w:t>
      </w:r>
    </w:p>
    <w:p>
      <w:r>
        <w:t>3.2 Der Gründerkreis verlangt eine nachvollziehbare Darstellung von Finanzbedarf, Verwendung, Ausgabepreis und Nachteilen für die Altgesellschafter. Dabei sind eine anteilige Teilnahme, ein kleineres Volumen, eine Zwischenfinanzierung und eine Verlängerung der Frist als echte Alternativen zu erörtern, soweit sie tatsächlich verfügbar sind.</w:t>
      </w:r>
    </w:p>
    <w:p>
      <w:pPr>
        <w:pStyle w:val="Heading1"/>
      </w:pPr>
      <w:r>
        <w:t>4 Verfahren für eine spätere Entscheidung</w:t>
      </w:r>
    </w:p>
    <w:p>
      <w:r>
        <w:t>4.1 Vor einer Beschlussfassung sind die dann geltende Satzung, Gesellschaftervereinbarung, tatsächliche Beteiligungsliste, Sonderrechte und Stimmverbote festzustellen. Eine rechnerische 75-Prozent-Mehrheit allein beantwortet die materielle Zulässigkeit des Bezugsrechtsausschlusses nicht.</w:t>
      </w:r>
    </w:p>
    <w:p>
      <w:r>
        <w:t>4.2 Der vollständige Beschlussvorschlag soll allen Berechtigten mit angemessener Vorbereitungszeit und einer konkreten Begründung zur Verfügung gestellt werden. Einwände sind sachlich zu behandeln und zu dokumentieren. Gesetzliche oder satzungsmäßige Rechtsschutzfristen werden durch weitere Gespräche nicht automatisch verlängert.</w:t>
      </w:r>
    </w:p>
    <w:p>
      <w:r>
        <w:t>4.3 Beschluss, formgerechte Übernahmeerklärung, Einzahlung, Registeranmeldung und Eintragung werden als gesonderte Schritte geplant. Vor Eintragung wird die modellierte neue Quote nicht als bereits wirksam entstandene Beteiligung bezeichnet. Dieses Papier enthält bewusst keine als bereits abgegeben bezeichneten Stimmen.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 B Kapitalerhöhung und Teilnahme</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