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Notizen vom Gründerabend im Werkraum</w:t>
      </w:r>
    </w:p>
    <w:p>
      <w:pPr>
        <w:pStyle w:val="Subtitle"/>
      </w:pPr>
      <w:r>
        <w:t>Ottilie Kühnle</w:t>
      </w:r>
    </w:p>
    <w:p>
      <w:r>
        <w:t>12. September 2026</w:t>
      </w:r>
    </w:p>
    <w:p>
      <w:r>
        <w:t>Wir saßen von 18.30 bis 21.10 Uhr am großen Tisch im Werkraum. Anwesend waren alle sieben. Es war kein beurkundeter Termin und keine Gesellschafterversammlung einer bereits gegründeten GmbH. Ich habe die unterschiedlichen Vorstellungen festgehalten, damit wir sie nicht beim nächsten Mal wieder von vorn erzählen.</w:t>
      </w:r>
    </w:p>
    <w:p>
      <w:pPr>
        <w:pStyle w:val="Heading1"/>
      </w:pPr>
      <w:r>
        <w:t>1 Name und Gründungsweg</w:t>
      </w:r>
    </w:p>
    <w:p>
      <w:r>
        <w:t>Schnittflug Robotics GmbH soll der Firmenname werden; Drohnenfriseur bleibt die Marke für die Produktidee. Eine Rückmeldung zur Firma liegt noch nicht vor. Ebo würde lieber morgen mit einer günstigen UG anfangen und später „GmbH drüberschreiben“. Nepo findet eine GmbH bei Salongesprächen verständlicher. Wir haben uns auf eine Beratung zu beiden Wegen verständigt, nicht auf eine Beurkundung.</w:t>
      </w:r>
    </w:p>
    <w:p>
      <w:r>
        <w:t>Ebo brachte ein heruntergeladenes Musterprotokoll mit und sagte, die sieben Namen könne man doch in die leeren Zeilen eintragen. Mina fragte, wo darin ihr Schutz bei Krankheit und Ottis Budgetrecht stehen würden. Wir haben das Formular nicht ausgefüllt.</w:t>
      </w:r>
    </w:p>
    <w:p>
      <w:pPr>
        <w:pStyle w:val="Heading1"/>
      </w:pPr>
      <w:r>
        <w:t>2 Geld und Quoten</w:t>
      </w:r>
    </w:p>
    <w:p>
      <w:r>
        <w:t>Die Tabelle vom 10. September mit 25.000 EUR Nennkapital ist die Gesprächsgrundlage. Die Summe ist besprochen, das Gründungskonto noch nicht eröffnet. Ebo erkennt an, dass seine alte Augustmail nicht die heute diskutierte Verteilung enthält. Kuni möchte die Investorenrechnung getrennt sehen: „Ich will wissen, wie viel mir nach einer Runde bleibt, und nicht nur den Wert der Firma.“</w:t>
      </w:r>
    </w:p>
    <w:p>
      <w:r>
        <w:t>Nepo hat privat Kleinteile bezahlt und möchte die Quittung erstattet bekommen. Otti will diese Auslagen nicht stillschweigend als Stammeinlage behandeln. Wir haben keine Erstattung beschlossen und kein Geld aus einer künftigen Gesellschaft ausgegeben.</w:t>
      </w:r>
    </w:p>
    <w:p>
      <w:pPr>
        <w:pStyle w:val="Heading1"/>
        <w:pageBreakBefore/>
      </w:pPr>
      <w:r>
        <w:t>3 Wer darf was entscheiden</w:t>
      </w:r>
    </w:p>
    <w:p>
      <w:r>
        <w:t>Für größere Entscheidungen wurden 75 Prozent genannt. Keiner konnte sagen, ob damit das gesamte Kapital oder nur die im Raum abgegebenen Stimmen gemeint sind. Ebo wäre bei seinem dringenden Einkauf gern allein vertretungsberechtigt. Otti möchte größere Verpflichtungen mitzeichnen. Für Reisebuchungen und laufendes Material soll es eine praktikable Grenze geben.</w:t>
      </w:r>
    </w:p>
    <w:p>
      <w:r>
        <w:t>Otti meinte, sie könne mit 21 Prozent alles Wesentliche stoppen, wenn 75 Prozent gebraucht würden. Thekla erwiderte: „Rechnet das bitte noch einmal mit allen sieben und mit zwei Abwesenden.“ Das Thema blieb offen. Ein Beirat mit drei Sitzen könnte bei der ersten Finanzierung kommen. Ob er nur berät oder Ausgaben stoppen darf, ist noch nicht entschieden.</w:t>
      </w:r>
    </w:p>
    <w:p>
      <w:pPr>
        <w:pStyle w:val="Heading1"/>
      </w:pPr>
      <w:r>
        <w:t>4 Bleiben und gehen</w:t>
      </w:r>
    </w:p>
    <w:p>
      <w:r>
        <w:t>Vier Jahre Vesting mit einem Jahr Cliff fanden fünf von uns grundsätzlich vernünftig. Lo fragte, was bei längerer Krankheit passiert. Mina will bereits erstellte Designs nicht so behandeln, als hätte ihre Mitarbeit erst mit dem Notartermin begonnen. Ebo wünscht eine harte Regel, wenn jemand nach drei Monaten zur Konkurrenz geht. Niemand hat einer konkreten Abfindungsformel zugestimmt.</w:t>
      </w:r>
    </w:p>
    <w:p>
      <w:r>
        <w:t>Wir baten um deutsche und englische Texte, damit internationale Beteiligte und spätere Geldgeber dieselbe Grundlage lesen können. Die deutsche Fassung soll maßgeblich sein. Thekla möchte trotzdem eine gut lesbare englische Fassung und keine Wort-für-Wort-Übersetzung aus dem Wörterbuch.</w:t>
      </w:r>
    </w:p>
    <w:p>
      <w:pPr>
        <w:pStyle w:val="Heading1"/>
      </w:pPr>
      <w:r>
        <w:t>5 Aufgaben bis zum Beratungstermin</w:t>
      </w:r>
    </w:p>
    <w:p>
      <w:r>
        <w:t>Otti sammelt Gründerdaten und Bankfragen. Kuni und Ebo klären die Herkunft der Software und früherer Arbeitsergebnisse. Mina sortiert Einwilligungen und Gestaltungslizenzen. Nepo fragt nach den Anforderungen an den handwerklichen Betrieb. Thekla organisiert das Zusatzblatt zum Aufenthaltstitel. Lo prüft, welches Werkzeug tatsächlich uns gehört. Eine gemeinsame Unterschrift unter einen Gründungsvertrag liegt bisher nicht vor.</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Notizen vom Gründerabend im Werkraum</dc:title>
  <dc:subject>Schnittflug Robotics – Gründungsunterlagen</dc:subject>
  <dc:creator>Ottilie Kühnle</dc:creator>
  <cp:keywords/>
  <dc:description>generated by python-docx</dc:description>
  <cp:lastModifiedBy/>
  <cp:revision>1</cp:revision>
  <dcterms:created xsi:type="dcterms:W3CDTF">2026-09-28T09:00:00Z</dcterms:created>
  <dcterms:modified xsi:type="dcterms:W3CDTF">2026-09-28T09:00:00Z</dcterms:modified>
  <cp:category/>
</cp:coreProperties>
</file>