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Gedanken zu Serie A und einer möglichen Downround</w:t>
      </w:r>
    </w:p>
    <w:p>
      <w:pPr>
        <w:pStyle w:val="Subtitle"/>
      </w:pPr>
      <w:r>
        <w:t>Thekla Ben-Ami nach Gesprächen mit zwei Kapitalgebern</w:t>
      </w:r>
    </w:p>
    <w:p>
      <w:r>
        <w:t>24. September 2026</w:t>
      </w:r>
    </w:p>
    <w:p>
      <w:r>
        <w:t>Die folgenden Zahlen sollen zeigen, welche Verhandlungen nach einer ersten Seed-Runde entstehen könnten. Niemand hat Anteile gezeichnet oder Geld zugesagt. Die geplante Gründung bleibt unser erster Auftrag; ich möchte spätere Probleme nur nicht vollständig übersehen.</w:t>
      </w:r>
    </w:p>
    <w:p>
      <w:pPr>
        <w:pStyle w:val="Heading1"/>
      </w:pPr>
      <w:r>
        <w:t>1 Gedankenspiel einer Serie A</w:t>
      </w:r>
    </w:p>
    <w:p>
      <w:r>
        <w:t>Spree Horizon Capital S.à r.l. hat für eine spätere Modellrechnung eine Zahlung von 2.400.000 EUR genannt. Ausgehend von 30.000 EUR Stammkapital nach dem Seed-Szenario wären neue Nennbeträge von 10.000 EUR und ein Aufgeld von 2.390.000 EUR denkbar. Die Bewertungsannahmen wären 7.200.000 EUR vor und 9.600.000 EUR nach der Runde. Das ist eine Rechengröße, kein heutiger Unternehmenswert.</w:t>
      </w:r>
    </w:p>
    <w:p>
      <w:r>
        <w:t>Der Ansprechpartner fragte nach einer einfachen englischen Erklärung der Kontrollrechte. Er möchte die deutsche Satzung mit der englischen Gesellschaftervereinbarung abgleichen können. Er hat noch keine Dokumentenprüfung begonnen und keine Bereitschaft zur Übernahme alter privater Verbindlichkeiten erklärt.</w:t>
      </w:r>
    </w:p>
    <w:p>
      <w:pPr>
        <w:pStyle w:val="Heading1"/>
      </w:pPr>
      <w:r>
        <w:t>2 Gedankenspiel einer Serie B</w:t>
      </w:r>
    </w:p>
    <w:p>
      <w:r>
        <w:t>Für einen späteren Liquiditätsengpass haben wir eine zweite Variante gerechnet. Scherenwolke Growth Fund GmbH &amp; Co. KG würde darin 1.800.000 EUR gegen 20.000 EUR neue Nennbeträge investieren. Ausgangspunkt wären 40.000 EUR Stammkapital; das Aufgeld betrüge 1.780.000 EUR. Die Bewertungsannahme läge mit 3.600.000 EUR vor der Runde unter der vorangegangenen Serie A.</w:t>
      </w:r>
    </w:p>
    <w:p>
      <w:r>
        <w:t>Das Team hat diese Variante nicht gebilligt. Kuni möchte bei einer so niedrigen Bewertung ein Bezugsrecht behalten und zumindest anteilig teilnehmen dürfen. Ebo hält dagegen, im Notfall müsse man einen Investor ohne neue Verhandlungen mit allen sieben hineinlassen können. Der Gesprächspartner von Scherenwolke wünscht Planungssicherheit, hat aber keine fertige Ausschlussklausel geschickt.</w:t>
      </w:r>
    </w:p>
    <w:p>
      <w:pPr>
        <w:pStyle w:val="Heading1"/>
      </w:pPr>
      <w:r>
        <w:t>3 Was wir unter Bestandsschutz verstehen</w:t>
      </w:r>
    </w:p>
    <w:p>
      <w:r>
        <w:t>Mit „Bestandsschutz“ meinen wir bislang verschiedene Dinge. Mina meint Schutz davor, während einer Krankheit zum kleinen Preis herausgedrängt zu werden. Kuni meint die Möglichkeit, ihre Quote durch Mitzeichnung zu halten. Ebo meint eine Zusage, dass die ursprünglichen Geschäftsführer nicht nach der ersten Runde abgesetzt werden. Diese Wünsche stehen derzeit nebeneinander.</w:t>
      </w:r>
    </w:p>
    <w:p>
      <w:r>
        <w:t>Ottilie möchte für jede Variante die Zahl der Stimmen sehen. Sie möchte außerdem wissen, ob ihr heute diskutiertes Budgetrecht nach Aufnahme eines Investors fortbestehen würde. Unsere aktuelle Tabelle kann die Verwässerung rechnen; sie beantwortet die Vertragsfrage nicht.</w:t>
      </w:r>
    </w:p>
    <w:p>
      <w:pPr>
        <w:pStyle w:val="Heading1"/>
      </w:pPr>
      <w:r>
        <w:t>4 Gesprächsauftrag</w:t>
      </w:r>
    </w:p>
    <w:p>
      <w:r>
        <w:t>Für das nächste Gespräch wünschen wir eine Gegenüberstellung von Bezugsrechten, einem konkret begründeten Ausschluss und freiwilligen Verzichtserklärungen. Dabei soll erkennbar sein, welche Entscheidungen später neu getroffen werden müssen. Bitte formulieren Sie keine pauschale Zustimmung zu jeder künftigen Kapitalmaßnahme in unseren heutigen Gründungsunterlagen.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Gedanken zu Serie A und einer möglichen Downround</dc:title>
  <dc:subject>Schnittflug Robotics – Gründungsunterlagen</dc:subject>
  <dc:creator>Thekla Ben-Ami nach Gesprächen mit zwei Kapitalgebern</dc:creator>
  <cp:keywords/>
  <dc:description>generated by python-docx</dc:description>
  <cp:lastModifiedBy/>
  <cp:revision>1</cp:revision>
  <dcterms:created xsi:type="dcterms:W3CDTF">2026-09-28T09:00:00Z</dcterms:created>
  <dcterms:modified xsi:type="dcterms:W3CDTF">2026-09-28T09:00:00Z</dcterms:modified>
  <cp:category/>
</cp:coreProperties>
</file>