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Vergabeunterlagen GVB-REI-2026-017 | Los 1</w:t>
      </w:r>
    </w:p>
    <w:p>
      <w:r>
        <w:t>Berlin, 23.07.2026 | GVB-REI-2026-017</w:t>
      </w:r>
    </w:p>
    <w:p>
      <w:pPr>
        <w:pStyle w:val="Title"/>
      </w:pPr>
      <w:r>
        <w:t>Teilnahmebedingungen und Zuschlagskriterien</w:t>
      </w:r>
    </w:p>
    <w:p>
      <w:pPr>
        <w:pStyle w:val="Heading1"/>
      </w:pPr>
      <w:r>
        <w:t>1. Teilnahme</w:t>
      </w:r>
    </w:p>
    <w:p>
      <w:pPr>
        <w:widowControl/>
      </w:pPr>
      <w:r>
        <w:t>Der Teilnahmeantrag enthält Unternehmensdaten, die benannten vertretungsberechtigten Personen, Erklärungen zu Ausschlussgründen und die vorgesehenen Nachunternehmer mit Leistungsanteil. Die wirtschaftliche Leistungsfähigkeit ist durch den Umsatz im Tätigkeitsbereich Gebäudereinigung in den letzten drei abgeschlossenen Geschäftsjahren darzustellen. Der geforderte Mindestumsatz beträgt 900000 EUR netto jährlich für Los 1. Bietergemeinschaften stellen die Aufgabenverteilung und die gemeinsam verfügbaren Mittel dar.</w:t>
      </w:r>
    </w:p>
    <w:p>
      <w:pPr>
        <w:widowControl/>
      </w:pPr>
      <w:r>
        <w:t>Gefordert sind zwei Referenzen für die Reinigung öffentlich zugänglicher Objekte in laufendem Betrieb mit jeweils mindestens 3000 m² und mindestens zwölf Monaten Leistungsdauer innerhalb der letzten drei Jahre. Verkehrsstationen sind nicht zwingend. Auftraggeber, Kontakt, Zeitraum, Umfang und eigene Leistung sind anzugeben. Für die angebotene Leistung muss eine Betriebshaftpflichtversicherung mit 5000000 EUR für Personen- und Sachschäden sowie 250000 EUR für Schlüsselverlust spätestens zum Leistungsbeginn vorliegen. Eine verbindliche Versichererbestätigung über die mögliche Deckung genügt im Teilnahmeantrag.</w:t>
      </w:r>
    </w:p>
    <w:p>
      <w:pPr>
        <w:widowControl/>
      </w:pPr>
      <w:r>
        <w:t>Es ist keine Beschränkung der Bewerberzahl vorgesehen. Jeder geeignete, nicht auszuschließende Bewerber wird zur Angebotsabgabe aufgefordert. Die GVB kann im rechtlich zulässigen Umfang Erklärungen und Nachweise nachfordern. Eine Nachforderung wird über dieselbe Vergabeplattform an den betroffenen Bewerber gestellt und enthält eine konkrete Frist.</w:t>
      </w:r>
    </w:p>
    <w:p>
      <w:pPr>
        <w:pStyle w:val="Heading1"/>
      </w:pPr>
      <w:r>
        <w:t>2. Preis</w:t>
      </w:r>
    </w:p>
    <w:p>
      <w:pPr>
        <w:widowControl/>
      </w:pPr>
      <w:r>
        <w:t>Der Preis erhält höchstens 60 Punkte. Maßgeblich ist der rechnerische Gesamtpreis aus vier Grundjahren, dem optionalen fünften Jahr und den im Preisblatt angegebenen Wertungsmengen für Sonderreinigungen. Der niedrigste wertbare Gesamtpreis erhält 60 Punkte. Andere Angebote erhalten 60 multipliziert mit dem niedrigsten wertbaren Gesamtpreis, geteilt durch ihren eigenen Gesamtpreis. Erst das Ergebnis wird auf zwei Nachkommastellen gerundet. Die Optionsausübung ist durch diese Rechnung noch nicht zugesagt.</w:t>
      </w:r>
    </w:p>
    <w:p>
      <w:pPr>
        <w:pStyle w:val="Heading1"/>
        <w:pageBreakBefore/>
      </w:pPr>
      <w:r>
        <w:t>3. Ausführungskonzept</w:t>
      </w:r>
    </w:p>
    <w:p>
      <w:pPr>
        <w:widowControl/>
      </w:pPr>
      <w:r>
        <w:t>Das Konzept erhält höchstens 40 Punkte: Personal- und Vertretungsplanung 15, Durchführung in den vorgegebenen Zeitfenstern 15, Qualitätskontrolle und Störungsbearbeitung 10. Je Unterkriterium werden 0 bis 5 Bewertungsstufen vergeben; der Anteil am Höchstwert errechnet sich aus Stufe geteilt durch 5. Stufe 0 bedeutet keine verwertbare Darstellung, 1 eine bloße allgemeine Zusage, 2 einen lückenhaften Objektbezug, 3 eine vollständige und nachvollziehbare Darstellung, 4 zusätzlich belegte Reserven für die beschriebenen Störungen und 5 eine besonders belastbare, anhand konkreter Abläufe nachvollziehbare Umsetzung einschließlich erprobter Vertretung.</w:t>
      </w:r>
    </w:p>
    <w:p>
      <w:pPr>
        <w:widowControl/>
      </w:pPr>
      <w:r>
        <w:t>Die Beurteilung muss auf den eingereichten Angaben beruhen. Reine Seitenzahl, Markenbekanntheit oder ein zusätzliches Zertifikat bringen keine eigenen Punkte. Das Konzept darf zehn A4-Seiten umfassen; Deckblatt und Inhaltsverzeichnis zählen mit, geforderte Referenznachweise nicht. Ein kleines lesbares Organigramm ist zulässig. Die veröffentlichten Mindestbedingungen bleiben auch bei einem überzeugenden Konzept einzuhalten.</w:t>
      </w:r>
    </w:p>
    <w:p>
      <w:pPr>
        <w:pStyle w:val="Heading1"/>
      </w:pPr>
      <w:r>
        <w:t>4. Verhandlung und Abschluss</w:t>
      </w:r>
    </w:p>
    <w:p>
      <w:pPr>
        <w:keepNext/>
        <w:widowControl/>
      </w:pPr>
      <w:r>
        <w:t>Verhandelt werden können Organisation und Ausführungsdetails, nicht die bekannt gemachten Zuschlagskriterien oder Mindestbedingungen. Eine Änderung der für alle geltenden Leistungsunterlagen wird einheitlich mitgeteilt. Die abschließende Angebotsaufforderung benennt die letzte Frist. Über abschließende Angebote wird nicht mehr verhandelt. Ein Zuschlag auf Erstangebote ohne Verhandlung ist in diesem Verfahren nicht vorbehalten.</w:t>
      </w:r>
    </w:p>
    <w:p>
      <w:pPr>
        <w:keepLines/>
      </w:pPr>
      <w:r>
        <w:t>Malte Winter</w:t>
        <w:br/>
        <w:t>Anlage W | Fassung 1</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06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Teilnahmebedingungen und Zuschlagskriterien</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