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Vertragsunterlage zu GVB-REI-2026-017 | Los 1</w:t>
      </w:r>
    </w:p>
    <w:p>
      <w:r>
        <w:t>Berlin, 23.07.2026 | GVB-REI-2026-017</w:t>
      </w:r>
    </w:p>
    <w:p>
      <w:pPr>
        <w:pStyle w:val="Title"/>
      </w:pPr>
      <w:r>
        <w:t>Vertrag über die Unterhaltsreinigung</w:t>
      </w:r>
    </w:p>
    <w:p>
      <w:pPr>
        <w:pStyle w:val="Heading1"/>
      </w:pPr>
      <w:r>
        <w:t>1. Vertragsschluss und Bestandteile</w:t>
      </w:r>
    </w:p>
    <w:p>
      <w:pPr>
        <w:widowControl/>
      </w:pPr>
      <w:r>
        <w:t>Die GVB Gemeinsame Verkehrsbetriebe Berlin AöR beauftragt den im Zuschlag bezeichneten Auftragnehmer mit der Unterhaltsreinigung von Stationen und Betriebsräumen. Der Auftragnehmer wird durch sein Angebot und den Zuschlag bestimmt. Vertragsbestandteile sind der Zuschlag, diese Vertragsbedingungen, die abschließend veröffentlichten Antworten und Änderungen, Leistungsbeschreibung, Objektliste, Preisblatt und das angenommene Ausführungskonzept. Allgemeine Geschäftsbedingungen des Auftragnehmers werden nicht allein durch einen Hinweis auf seiner Rechnung Vertragsbestandteil.</w:t>
      </w:r>
    </w:p>
    <w:p>
      <w:pPr>
        <w:pStyle w:val="Heading1"/>
      </w:pPr>
      <w:r>
        <w:t>2. Laufzeit und Übergabe</w:t>
      </w:r>
    </w:p>
    <w:p>
      <w:pPr>
        <w:widowControl/>
      </w:pPr>
      <w:r>
        <w:t>Leistungsbeginn ist der 01.01.2027. Der Vertrag endet am 31.12.2030. Die GVB kann ihn durch Erklärung in Textform bis zum 30.06.2030 einmal um zwölf Monate verlängern. Ein Anspruch des Auftragnehmers auf die Verlängerung besteht nicht. Die Übergabe der Objekte und Schlüssel wird protokolliert. Der Auftragnehmer benennt vor der Übergabe Objektleiter und Stellvertreter und weist Unterweisungen nach. Arbeitsverhältnisse, Personalübernahmen und erforderliche Unterrichtungen sind von den Beteiligten gesondert anhand der tatsächlichen Verhältnisse zu behandeln; der Vertrag behauptet dazu keine abschließende Einordnung.</w:t>
      </w:r>
    </w:p>
    <w:p>
      <w:pPr>
        <w:pStyle w:val="Heading1"/>
      </w:pPr>
      <w:r>
        <w:t>3. Entgelt und Abrechnung</w:t>
      </w:r>
    </w:p>
    <w:p>
      <w:pPr>
        <w:widowControl/>
      </w:pPr>
      <w:r>
        <w:t>Die regelmäßigen Leistungen werden monatlich mit einem Zwölftel des vereinbarten Jahrespreises abgerechnet. Abrufe sind mit Datum, anordnender Person, Ort, Menge und vereinbartem Einheitspreis nachzuweisen. Umsatzsteuer wird gesondert ausgewiesen. Nicht angeordnete Zusatzleistungen werden nicht dadurch anerkannt, dass ein Mitarbeiter der GVB auf einem Arbeitszettel lediglich die Anwesenheit bestätigt. Die Rechnung nennt Vergabenummer, Los, Leistungsmonat und die Objektkennungen. Die Zahlungsfrist beträgt 30 Tage nach Zugang einer prüffähigen Rechnung.</w:t>
      </w:r>
    </w:p>
    <w:p>
      <w:pPr>
        <w:pStyle w:val="Heading1"/>
        <w:pageBreakBefore/>
      </w:pPr>
      <w:r>
        <w:t>4. Entgeltanpassung</w:t>
      </w:r>
    </w:p>
    <w:p>
      <w:pPr>
        <w:widowControl/>
      </w:pPr>
      <w:r>
        <w:t>Bei verbindlichen Änderungen der für die eingesetzten Beschäftigten maßgeblichen Löhne kann jede Partei eine Anpassung des nachgewiesenen Lohnkostenanteils für die Zukunft verlangen. Ausgangslohn, betroffene Stunden und Zuschläge sind offen zu legen. Der übrige Kalkulationsanteil wird dadurch nicht automatisch angehoben. Eine Rückrechnung vor Wirksamwerden der Lohnänderung ist ausgeschlossen. Die Parteien dokumentieren die Einigung; die bloße Ankündigung ersetzt keine geänderte Rechnung.</w:t>
      </w:r>
    </w:p>
    <w:p>
      <w:pPr>
        <w:pStyle w:val="Heading1"/>
      </w:pPr>
      <w:r>
        <w:t>5. Personal und Nachunternehmer</w:t>
      </w:r>
    </w:p>
    <w:p>
      <w:pPr>
        <w:widowControl/>
      </w:pPr>
      <w:r>
        <w:t>Die gültigen besonderen Vertragsbedingungen des Landes Berlin zu Tariftreue und Mindeststundenentgelt, Kontrolle und Sanktionen sowie Umweltschutz werden mit den Vergabeunterlagen bereitgestellt. Die GVB verlangt die darin vorgesehenen Nachweise auch bei zulässigen Nachunternehmern. Jeder neue Nachunternehmer ist vor Einsatz mit Tätigkeit, Ansprechpartner und Nachweisen mitzuteilen. Die Verantwortung des Auftragnehmers für die Leistung bleibt bestehen. Zutritt wird nur unterwiesenem Personal mit dokumentierter Schlüsselberechtigung gewährt.</w:t>
      </w:r>
    </w:p>
    <w:p>
      <w:pPr>
        <w:pStyle w:val="Heading1"/>
      </w:pPr>
      <w:r>
        <w:t>6. Mängel, Schäden und Versicherung</w:t>
      </w:r>
    </w:p>
    <w:p>
      <w:pPr>
        <w:widowControl/>
      </w:pPr>
      <w:r>
        <w:t>Beanstandungen werden objekt- und zeitbezogen mitgeteilt. Für die Nachbesserung wird eine der Störung angemessene Frist gesetzt. Sofortige Gefahren sind der Leitstelle zu melden und abzusichern, soweit dies gefahrlos möglich ist. Der Auftragnehmer führt die zugesagte Haftpflichtdeckung während der Vertragszeit fort und meldet deren Wegfall unverzüglich. Schadensersatz, Vergütungsminderung und Vertragsbeendigung setzen ihre jeweiligen Voraussetzungen voraus; eine pauschale Belastung für sämtliche Fahrgastbeschwerden ist nicht vereinbart.</w:t>
      </w:r>
    </w:p>
    <w:p>
      <w:pPr>
        <w:pStyle w:val="Heading1"/>
      </w:pPr>
      <w:r>
        <w:t>7. Änderungen und Ende</w:t>
      </w:r>
    </w:p>
    <w:p>
      <w:pPr>
        <w:keepNext/>
        <w:widowControl/>
      </w:pPr>
      <w:r>
        <w:t>Mengenänderungen und zusätzliche Objekte bedürfen einer dokumentierten Beauftragung; der Auftragnehmer darf sein Personal nicht allein aufgrund einer mündlichen Bitte eines örtlichen Mitarbeiters dauerhaft auf weitere Gebäude umstellen. Zum Vertragsende werden Schlüssel, Objektunterlagen und offene Störungsmeldungen übergeben. Die Parteien benennen Ansprechpartner für die Übergabe. Der Entwurf ist noch nicht unterzeichnet und begründet für sich allein keinen Auftrag.</w:t>
      </w:r>
    </w:p>
    <w:p>
      <w:pPr>
        <w:keepLines/>
      </w:pPr>
      <w:r>
        <w:t>Vertragsredaktion: Malte Winter</w:t>
        <w:br/>
        <w:t>Ausgabe zur Angebotskalkulation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07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die Unterhaltsreinigung</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