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das Gespräch im Handelshof am 16. Juni 2026</w:t>
      </w:r>
    </w:p>
    <w:p>
      <w:pPr>
        <w:jc w:val="left"/>
      </w:pPr>
      <w:r>
        <w:t>Abgetippt nach den handschriftlichen Notizen von Frau Karaca, Blatt 2 der Notizen ist nicht auffindbar. Beginn 10:34 Uhr, Ende gegen 12:10 Uhr, Besprechungsraum 2 im Handelshof 18.</w:t>
      </w:r>
    </w:p>
    <w:p>
      <w:pPr>
        <w:jc w:val="left"/>
      </w:pPr>
      <w:r>
        <w:t>Anwesend: Frau Elif Karaca, Frau Derya Özdemir (bis ca. 11:20 Uhr, dann Betrieb), Rechtsanwältin Dr. Maren Sievers, Herr Jens Rickert (Partnercontrolling), Frau Nora Thiel (kam erst um 11:05 Uhr dazu, vorher anderer Termin).</w:t>
      </w:r>
    </w:p>
    <w:p>
      <w:pPr>
        <w:jc w:val="left"/>
      </w:pPr>
      <w:r>
        <w:t>Herr Rickert eröffnete mit den Kassendaten. Er sagte, die PDF-Übersicht für Januar und Februar reiche nicht, das Controlling brauche den CSV-Export aus KronenPOS samt Stornojournal und Rabattberichten bis 18. Juni, 16:00 Uhr. Frau Karaca erklärte, der Export laufe seit dem KronenPOS-Update vom 26. Mai auf einen Fehler, Ticketnummer beim Systemsupport 2026-4471, sie habe das zweimal gemeldet. Herr Rickert notierte sich die Ticketnummer und wollte beim Support nachfragen; ob das geschehen ist, ist hier nicht bekannt.</w:t>
      </w:r>
    </w:p>
    <w:p>
      <w:pPr>
        <w:jc w:val="left"/>
      </w:pPr>
      <w:r>
        <w:t>Zur Aktion „Zwei Kronen, ein Preis" sagte Frau Karaca, die Anmeldung sei am 20. Mai über das Partnerportal versucht worden, das Formular habe aber eine Fehlermeldung gezeigt. Ein Bildschirmfoto davon will Frau Özdemir noch heraussuchen. Eingelöst wurden nach ihrer Zählung 141 Bons. Dr. Sievers erwiderte, im Portal sei nichts eingegangen, ihre Mandantin bleibe bei der Aufforderung aus dem Schreiben vom 11. Juni.</w:t>
      </w:r>
    </w:p>
    <w:p>
      <w:pPr>
        <w:jc w:val="left"/>
      </w:pPr>
      <w:r>
        <w:t>Zum Standort Hafenweg 21 sagte Frau Thiel, die Routenmessung der Standortentwicklung ergebe 2,1 Kilometer und der Vermieter habe das Angebot inzwischen bis zum 26. Juni verlängert. Frau Karaca hielt ihre Vertragskarte dagegen, nach der der Haupteingang innerhalb des Radius liege. Man verglich beide Karten am Bildschirm, kam aber zu keinem gemeinsamen Messergebnis, weil die Karten unterschiedliche Startpunkte verwenden (Haupteingang gegen Grundstücksgrenze). Frau Thiel sagte zu, die Rohdaten der Messung bis 19. Juni zu übersenden.</w:t>
      </w:r>
    </w:p>
    <w:p>
      <w:pPr>
        <w:jc w:val="left"/>
      </w:pPr>
      <w:r>
        <w:t>Zum Beitrag vom 8. Juni erklärte Frau Karaca, der Beitrag sei am 11. Juni um 21:40 Uhr gelöscht worden. Wer ihn eingestellt hat, wurde im Termin nicht abschließend geklärt; Frau Karaca sagte, sie kläre das intern und melde sich schriftlich.</w:t>
      </w:r>
    </w:p>
    <w:p>
      <w:pPr>
        <w:jc w:val="left"/>
      </w:pPr>
      <w:r>
        <w:t>Kein gemeinsames Ergebnisprotokoll. Nächster Termin wurde nicht vereinbart. Frau Karaca will bis 18. Juni schriftlich antworten.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