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 Stadtkasse Trier, Rate Q2/2026 und Stundungsantrag</w:t>
      </w:r>
    </w:p>
    <w:p>
      <w:pPr>
        <w:jc w:val="left"/>
      </w:pPr>
      <w:r>
        <w:t>Kanzlei Klotzkette Steuerrecht · Aktenzeichen KGK 2026-118 / Rosenwinkel</w:t>
      </w:r>
    </w:p>
    <w:p>
      <w:pPr>
        <w:jc w:val="left"/>
      </w:pPr>
      <w:r>
        <w:t>Vermerk: Lukas Hartmann, Steuerassistent · Telefonat am 02.07.2026, 09:40 bis 09:58 Uhr</w:t>
      </w:r>
    </w:p>
    <w:p>
      <w:pPr>
        <w:jc w:val="left"/>
      </w:pPr>
      <w:r>
        <w:t>Gesprächspartnerin: Frau Ewen, Stadtkasse Trier, Sachgebiet Grundbesitzabgaben, Durchwahl 0651 718-2246</w:t>
      </w:r>
    </w:p>
    <w:p>
      <w:pPr>
        <w:pStyle w:val="Heading2"/>
      </w:pPr>
      <w:r>
        <w:rPr>
          <w:rFonts w:ascii="Times New Roman" w:hAnsi="Times New Roman"/>
        </w:rPr>
        <w:t>1 Gegenstand</w:t>
      </w:r>
    </w:p>
    <w:p>
      <w:pPr>
        <w:jc w:val="left"/>
      </w:pPr>
      <w:r>
        <w:t>Anlass des Anrufs war die offene Rate für das zweite Quartal 2026 über 4.871,60 EUR zum Kassenzeichen 7008-4419-RO14, fällig am 15.05.2026, sowie der Stand des am 12.06.2026 per Post eingereichten Stundungsantrags der Hausverwaltung.</w:t>
      </w:r>
    </w:p>
    <w:p>
      <w:pPr>
        <w:pStyle w:val="Heading2"/>
      </w:pPr>
      <w:r>
        <w:rPr>
          <w:rFonts w:ascii="Times New Roman" w:hAnsi="Times New Roman"/>
        </w:rPr>
        <w:t>2 Auskunft der Stadtkasse</w:t>
      </w:r>
    </w:p>
    <w:p>
      <w:pPr>
        <w:jc w:val="left"/>
      </w:pPr>
      <w:r>
        <w:t>Frau Ewen bestätigte den Eingang des Stundungsantrags am 16.06.2026. Der Antrag sei jedoch noch nicht bearbeitungsfähig, weil das städtische Formular zur wirtschaftlichen Situation fehle und der Antrag nur von der Hausverwaltung, nicht aber mit einem Nachweis ihrer Vertretungsbefugnis für die Eigentümergemeinschaft unterzeichnet sei. Ein entsprechendes Anforderungsschreiben sei am 26.06.2026 an die Hausverwaltung versandt worden; eine Frist von drei Wochen laufe.</w:t>
      </w:r>
    </w:p>
    <w:p>
      <w:pPr>
        <w:jc w:val="left"/>
      </w:pPr>
      <w:r>
        <w:t>Auf die offene Rate würden seit Fälligkeit Säumniszuschläge gebucht, derzeit 96,00 EUR. Eine maschinelle Mahnung sei bereits erstellt und werde in der laufenden Woche versandt; das lasse sich nicht mehr anhalten. Solange über den Stundungsantrag nicht entschieden sei, werde aber keine Vollstreckung eingeleitet. Frau Ewen wies darauf hin, dass der laufende Einspruch beim Finanzamt die Zahlungspflicht gegenüber der Stadt nach ihrer Systemlage nicht berühre, solange der Stadt keine Mitteilung über eine Aussetzung vorliege.</w:t>
      </w:r>
    </w:p>
    <w:p>
      <w:pPr>
        <w:pStyle w:val="Heading2"/>
      </w:pPr>
      <w:r>
        <w:rPr>
          <w:rFonts w:ascii="Times New Roman" w:hAnsi="Times New Roman"/>
        </w:rPr>
        <w:t>3 Weiteres Vorgehen</w:t>
      </w:r>
    </w:p>
    <w:p>
      <w:pPr>
        <w:jc w:val="left"/>
      </w:pPr>
      <w:r>
        <w:t>Frau Ewen bat darum, das nachgeforderte Formular und den Verwaltervertrag direkt an ihr Sachgebiet zu senden, gern vorab per E-Mail an grundbesitzabgaben@trier.de. Bei Eingang bis 17.07.2026 könne die Kassenleitung noch im Juli entscheiden. Eine Ratenzahlung über sechs Monate sei nach ihrer Erfahrung eher erreichbar als eine vollständige Stundung.</w:t>
      </w:r>
    </w:p>
    <w:p>
      <w:pPr>
        <w:jc w:val="left"/>
      </w:pPr>
      <w:r>
        <w:t>Wiedervorlage: 09.07.2026, Abstimmung mit Frau Kreutzer zum Formular und zur Mahnung.</w:t>
      </w:r>
    </w:p>
    <w:p>
      <w:pPr>
        <w:jc w:val="left"/>
      </w:pPr>
      <w:r>
        <w:t>Hartmann, 02.07.2026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Aktenzeichen KG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AKTENZEICHEN KG</w:t>
    </w:r>
  </w:p>
  <w:p>
    <w:pPr>
      <w:jc w:val="left"/>
      <w:pBdr>
        <w:bottom w:val="single" w:sz="8" w:space="2" w:color="3B3F45"/>
      </w:pBdr>
    </w:pPr>
    <w:r>
      <w:rPr>
        <w:rFonts w:ascii="Times New Roman" w:hAnsi="Times New Roman"/>
        <w:color w:val="6B6B66"/>
        <w:sz w:val="16"/>
      </w:rPr>
      <w:t>Rechtsanwaltskanzlei · Aktenzeichen KGK 2026-118 / Rosenwinkel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