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Abschrift: Verfügung des Landgerichts Berlin vom 19.01.2026</w:t>
      </w:r>
    </w:p>
    <w:p>
      <w:pPr>
        <w:jc w:val="left"/>
      </w:pPr>
      <w:r>
        <w:t>Landgericht Berlin, Zivilkammer 4, Geschäftsnummer 4 O 218/25, in dem Rechtsstreit Mayer gegen Sparkasse Berlin. Eingegangen in der Kanzlei am 22.01.2026, Empfangsbekenntnis am selben Tag zurückgesandt. Handschriftlicher Eingangsvermerk: "Fristen notiert, WV 09.02."</w:t>
      </w:r>
    </w:p>
    <w:p>
      <w:pPr>
        <w:jc w:val="left"/>
      </w:pPr>
      <w:r>
        <w:t>Es wird verfügt:</w:t>
      </w:r>
    </w:p>
    <w:p>
      <w:pPr>
        <w:pStyle w:val="ListNumber"/>
      </w:pPr>
      <w:r>
        <w:t>Termin zur mündlichen Verhandlung wird bestimmt auf Dienstag, den 21.04.2026, 10:00 Uhr, Saal 143, Littenstraße 12-17, 10179 Berlin.</w:t>
      </w:r>
    </w:p>
    <w:p>
      <w:pPr>
        <w:pStyle w:val="ListNumber"/>
      </w:pPr>
      <w:r>
        <w:t>Das persönliche Erscheinen des Klägers wird angeordnet. Die Beklagte hat einen mit den technischen Abläufen des pushTAN-Verfahrens vertrauten Mitarbeiter zu entsenden, der zur Aufklärung des Sachverhalts in der Lage ist.</w:t>
      </w:r>
    </w:p>
    <w:p>
      <w:pPr>
        <w:pStyle w:val="ListNumber"/>
      </w:pPr>
      <w:r>
        <w:t>Dem Kläger wird aufgegeben, auf die Klageerwiderung binnen sechs Wochen ab Zustellung dieser Verfügung zu erwidern.</w:t>
      </w:r>
    </w:p>
    <w:p>
      <w:pPr>
        <w:pStyle w:val="ListNumber"/>
      </w:pPr>
      <w:r>
        <w:t>Der Beklagten wird aufgegeben, binnen derselben Frist das als Anlage B 4 auszugsweise vorgelegte technische Protokoll der Vorgänge vom 28.05.2025 vollständig und in ungekürzter Fassung vorzulegen, einschließlich der Gerätekennungen, der IP-Adressen sämtlicher an diesem Tag registrierten Zugriffe auf das Konto DE89 1005 0000 0478 2395 42 sowie der im pushTAN-Dialog angezeigten Freigabetexte in der beim Institut gespeicherten Fassung.</w:t>
      </w:r>
    </w:p>
    <w:p>
      <w:pPr>
        <w:pStyle w:val="ListNumber"/>
      </w:pPr>
      <w:r>
        <w:t>Die Parteien werden gebeten mitzuteilen, ob Bereitschaft zu einem Güteversuch auf der Grundlage des Schlichtungsvorschlags der Ombudsstelle vom 15.08.2025 besteht. Auf die Möglichkeit der Verweisung an den Güterichter (Paragraf 278 Abs. 5 ZPO) wird hingewiesen.</w:t>
      </w:r>
    </w:p>
    <w:p>
      <w:pPr>
        <w:pStyle w:val="ListNumber"/>
      </w:pPr>
      <w:r>
        <w:t>Der Kläger wird gebeten, die in der Klageschrift als Zeugin benannte Kollegin mit ladungsfähiger Anschrift zu bezeichnen; die Anschrift ist in der Anlage K 20 geschwärzt.</w:t>
      </w:r>
    </w:p>
    <w:p>
      <w:pPr>
        <w:jc w:val="left"/>
      </w:pPr>
      <w:r>
        <w:t>Dr. Ferlemann</w:t>
      </w:r>
    </w:p>
    <w:p>
      <w:pPr>
        <w:jc w:val="left"/>
      </w:pPr>
      <w:r>
        <w:t>Vorsitzender Richter am Landgericht</w:t>
      </w:r>
    </w:p>
    <w:p>
      <w:pPr>
        <w:jc w:val="left"/>
      </w:pPr>
      <w:r>
        <w:t>Beglaubigt: Urkundsbeamtin der Geschäftsstelle, gez. Nitschke</w:t>
      </w:r>
    </w:p>
    <w:p>
      <w:pPr>
        <w:jc w:val="left"/>
      </w:pPr>
      <w:r>
        <w:t>Zusatz der Geschäftsstelle: Der ursprünglich in Aussicht genommene frühe erste Termin am 03.03.2026 entfällt wegen einer Verhinderung der Kammer; die elektronische Terminsnachricht vom 08.01.2026 ist gegenstandslos.</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Berlin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Berlin</w:t>
    </w:r>
  </w:p>
  <w:p>
    <w:pPr>
      <w:jc w:val="left"/>
      <w:pBdr>
        <w:bottom w:val="single" w:sz="6" w:space="2" w:color="3B3F45"/>
      </w:pBdr>
    </w:pPr>
    <w:r>
      <w:rPr>
        <w:rFonts w:ascii="Times New Roman" w:hAnsi="Times New Roman"/>
        <w:color w:val="6B6B66"/>
        <w:sz w:val="16"/>
      </w:rPr>
      <w:t>Gericht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