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WE02 (Matuschek)</w:t>
      </w:r>
    </w:p>
    <w:p>
      <w:pPr>
        <w:jc w:val="left"/>
      </w:pPr>
      <w:r>
        <w:t>Zwangsverwaltung Parkstraße 18, 04107 Leipzig, Aktenzeichen 76 L 88/26. Telefonat am 27.05.2026, 17:35 bis 17:52 Uhr. Gesprächspartner: Herr Bogdan Matuschek, Mieter der Wohnung WE02, Vorderhaus Erdgeschoss rechts. Vermerk gefertigt von Rechtsanwaltsfachangestellter Sandra Ewald am 27.05.2026, 18:05 Uhr, zur Vorlage an Frau Rechtsanwältin Renner.</w:t>
      </w:r>
    </w:p>
    <w:p>
      <w:pPr>
        <w:pStyle w:val="Heading2"/>
      </w:pPr>
      <w:r>
        <w:rPr>
          <w:rFonts w:ascii="Times New Roman" w:hAnsi="Times New Roman"/>
        </w:rPr>
        <w:t>1 Anlass</w:t>
      </w:r>
    </w:p>
    <w:p>
      <w:pPr>
        <w:jc w:val="left"/>
      </w:pPr>
      <w:r>
        <w:t>Rückruf des Mieters auf die Zahlungsaufforderung vom 20.05.2026 wegen der nicht auf dem Treuhandkonto eingegangenen Maimiete in Höhe von 895,00 EUR.</w:t>
      </w:r>
    </w:p>
    <w:p>
      <w:pPr>
        <w:pStyle w:val="Heading2"/>
      </w:pPr>
      <w:r>
        <w:rPr>
          <w:rFonts w:ascii="Times New Roman" w:hAnsi="Times New Roman"/>
        </w:rPr>
        <w:t>2 Angaben des Mieters</w:t>
      </w:r>
    </w:p>
    <w:p>
      <w:pPr>
        <w:jc w:val="left"/>
      </w:pPr>
      <w:r>
        <w:t>Herr Matuschek erklärte, Herr Feldmann habe ihn Ende April angerufen und gesagt, es gebe Ärger mit der Bank und er solle die Miete vorerst bar bezahlen, alles andere kläre sich. Er habe die Maimiete am 02.05.2026 in bar an Herrn Feldmann übergeben, nach seiner Erinnerung an der Wohnungstür, es könne aber auch am 04.05. gewesen sein. Eine Quittung habe er verlangt; Herr Feldmann habe gesagt, er bringe sie vorbei, das sei bis heute nicht geschehen. Er habe aber am 02.05. um 19:41 Uhr eine SMS an seine Frau geschrieben, dass die Miete übergeben sei; diese Nachricht könne er zeigen.</w:t>
      </w:r>
    </w:p>
    <w:p>
      <w:pPr>
        <w:jc w:val="left"/>
      </w:pPr>
      <w:r>
        <w:t>Von der Zwangsverwaltung habe er erst durch das Anschreiben mit dem Treuhandkonto erfahren. Der Brief sei bei ihm nach seiner Aussage erst am 12.05. angekommen, die Nachbarin aus WE01 habe ihren schon am 09.05. gehabt. Er wolle die Miete nicht doppelt bezahlen, das müsse man verstehen, er habe zwei Kinder und arbeite im Schichtdienst. Die Junimiete werde er auf das Treuhandkonto überweisen, den Dauerauftrag habe er heute bei der Bank geändert.</w:t>
      </w:r>
    </w:p>
    <w:p>
      <w:pPr>
        <w:pStyle w:val="Heading2"/>
      </w:pPr>
      <w:r>
        <w:rPr>
          <w:rFonts w:ascii="Times New Roman" w:hAnsi="Times New Roman"/>
        </w:rPr>
        <w:t>3 Weiteres</w:t>
      </w:r>
    </w:p>
    <w:p>
      <w:pPr>
        <w:jc w:val="left"/>
      </w:pPr>
      <w:r>
        <w:t>Herrn Matuschek wurde mitgeteilt, dass die Angelegenheit der Maimiete Frau Renner zur Entscheidung vorgelegt wird und er die SMS sowie etwaige weitere Nachrichten von Herrn Feldmann aufbewahren möge. Er erwähnte am Ende des Gesprächs, Herr Feldmann habe auch bei der Bäckerei unten wegen der Miete geklingelt, das wisse er vom Verkaufspersonal. Wiedervorlage: 05.06.2026, Eingang Junimiete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