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Quirin Rottmayer</w:t>
        <w:br/>
        <w:t>qr@isarwinkel-geraetebau.example</w:t>
      </w:r>
    </w:p>
    <w:p>
      <w:r>
        <w:t>An: Hildegard Steinlechner und Kanzlei Dr. Mechthild Färber</w:t>
      </w:r>
    </w:p>
    <w:p>
      <w:r>
        <w:t>07.10.2026</w:t>
      </w:r>
    </w:p>
    <w:p>
      <w:pPr>
        <w:pStyle w:val="Title"/>
      </w:pPr>
      <w:r>
        <w:t>Überarbeitete Vorschläge für unsere Vereinbarung</w:t>
      </w:r>
    </w:p>
    <w:p>
      <w:r>
        <w:t>Hildegard, ich habe die Punkte nach unserem Gespräch neu geschrieben. Das ist mein ungezeichneter Arbeitsstand, nicht Albrechts Zustimmung und noch keine Fassung für die Unterschrift. Ich möchte die Sätze der Kanzlei zeigen, damit sie sieht, was wir im Alltag brauchen. Die Regelung zur Reihenfolge von Satzung und privater Vereinbarung aus meinem alten Entwurf habe ich noch nicht durch einen fertigen Text ersetzt.</w:t>
      </w:r>
    </w:p>
    <w:p>
      <w:pPr>
        <w:pStyle w:val="Heading1"/>
      </w:pPr>
      <w:r>
        <w:t>1 Entscheidungen und Bericht</w:t>
      </w:r>
    </w:p>
    <w:p>
      <w:r>
        <w:t>Die Geschäftsführung darf im Rahmen eines von den Gesellschaftern genehmigten Jahresbudgets Bestellungen selbst freigeben. Für nicht im Budget enthaltene Vorhaben ab 50.000 EUR netto soll vorher eine Zustimmung eingeholt werden. Bestellungen für dasselbe Vorhaben sollen zusammengerechnet werden. Albrecht hat 25.000 EUR genannt; meine Zahl ist daher ausdrücklich noch nicht abgestimmt. Für laufende Materialkäufe aus fest angenommenen Kundenaufträgen möchte ich keine zweite Zustimmung verlangen, solange das Budget eingehalten wird.</w:t>
      </w:r>
    </w:p>
    <w:p>
      <w:r>
        <w:t>Bis zum 15. des Folgemonats soll Albrecht eine Übersicht über Bankbestand, offene Kundenrechnungen und fällige Lieferantenrechnungen bekommen. Einzelne Lohnabrechnungen gehören für mich nicht in diesen Bericht. Für Geschäfte mit uns, unseren Angehörigen oder unseren anderen Unternehmen muss die Kanzlei einen gesonderten Entscheidungsweg entwerfen. Ich habe dafür noch keinen geeigneten Satz.</w:t>
      </w:r>
    </w:p>
    <w:p>
      <w:pPr>
        <w:pStyle w:val="Heading1"/>
      </w:pPr>
      <w:r>
        <w:t>2 Ausfall eines Gründers</w:t>
      </w:r>
    </w:p>
    <w:p>
      <w:r>
        <w:t>Bei längerer Krankheit oder Pflegezeit soll zunächst ein Vertreter für das Tagesgeschäft organisiert werden. Die betroffene Person soll ihren Anteil nicht allein wegen der Dauer der Abwesenheit verlieren. Nach sechs Monaten sollen die Beteiligten über die weitere Aufgabenverteilung sprechen. Eine automatische Kaufpflicht oder Kaufoption entsteht durch dieses Gespräch nicht. Meine frühere Formulierung zum Buchwert soll hierfür nicht verwendet werden.</w:t>
      </w:r>
    </w:p>
    <w:p>
      <w:pPr>
        <w:pStyle w:val="Heading1"/>
      </w:pPr>
      <w:r>
        <w:t>3 Verkauf und Familie</w:t>
      </w:r>
    </w:p>
    <w:p>
      <w:r>
        <w:t>Bei einem Verkauf an einen Dritten sollen alle für ihre Anteile denselben Preis je Nennbetrag erhalten. Garantien zum gesamten Unternehmen sollen nur diejenigen übernehmen, die den jeweiligen Sachverhalt kennen; eine Haftung für alles und jeden möchte ich nicht versprechen. Die erforderliche Mehrheit für eine Mitverkaufspflicht und Albrechts Mindestpreis sind offen. Hier darf kein unterschriftsreifer Zwang zum Verkauf aus meinem Text abgeleitet werden.</w:t>
      </w:r>
    </w:p>
    <w:p>
      <w:r>
        <w:t>Eine Übertragung in meine vollständig kontrollierte Familiengesellschaft soll möglich sein, wenn keine fremde Person die Kontrolle übernimmt. Was bei meinem Tod, meiner Scheidung oder einer Verpfändung dieser Familiengesellschaft geschieht, ist noch zu ergänzen. Ich kann nicht allein beurteilen, welche dieser Regelungen in die Satzung müssen. Bitte besprechen Sie das mit dem Notariat, bevor wir den Vertrag per E-Mail freigeben.</w:t>
      </w:r>
    </w:p>
    <w:p>
      <w:r>
        <w:t>Quirin, 07.10.2026, 21:05 Uhr</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Überarbeitete Vorschläge für unsere Vereinbarung</dc:title>
  <dc:subject/>
  <dc:creator>Quirin Rottmayer</dc:creator>
  <cp:keywords/>
  <dc:description>generated by python-docx</dc:description>
  <cp:lastModifiedBy/>
  <cp:revision>1</cp:revision>
  <dcterms:created xsi:type="dcterms:W3CDTF">2026-10-08T12:00:00Z</dcterms:created>
  <dcterms:modified xsi:type="dcterms:W3CDTF">2026-10-08T12:00:00Z</dcterms:modified>
  <cp:category/>
</cp:coreProperties>
</file>