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ide-letter-und-information-rights"/>
    <w:p>
      <w:pPr>
        <w:pStyle w:val="Heading1"/>
      </w:pPr>
      <w:r>
        <w:t xml:space="preserve">13 Side Letter und Information Rights</w:t>
      </w:r>
    </w:p>
    <w:bookmarkStart w:id="20" w:name="Xba4fd76c9ac498611f8f7f017b2135f8b49704d"/>
    <w:p>
      <w:pPr>
        <w:pStyle w:val="Heading2"/>
      </w:pPr>
      <w:r>
        <w:t xml:space="preserve">Auszug Seed Side Letter Stahlauge Ventures GmbH, datiert 01.07.2023</w:t>
      </w:r>
    </w:p>
    <w:p>
      <w:pPr>
        <w:pStyle w:val="FirstParagraph"/>
      </w:pPr>
      <w:r>
        <w:rPr>
          <w:b/>
          <w:bCs/>
        </w:rPr>
        <w:t xml:space="preserve">Section 1 Information Rights</w:t>
      </w:r>
    </w:p>
    <w:p>
      <w:pPr>
        <w:pStyle w:val="BodyText"/>
      </w:pPr>
      <w:r>
        <w:t xml:space="preserve">The Company shall deliver to the Investor: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monthly management reports</w:t>
      </w:r>
      <w:r>
        <w:t xml:space="preserve"> </w:t>
      </w:r>
      <w:r>
        <w:t xml:space="preserve">within 15 business days after the end of each month, including profit and loss, cash position and burn rate;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quarterly business reviews</w:t>
      </w:r>
      <w:r>
        <w:t xml:space="preserve"> </w:t>
      </w:r>
      <w:r>
        <w:t xml:space="preserve">within 30 days after the end of each quarter;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annual audited financial statements</w:t>
      </w:r>
      <w:r>
        <w:t xml:space="preserve"> </w:t>
      </w:r>
      <w:r>
        <w:t xml:space="preserve">within 120 days after the end of each fiscal year;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annual budget and business plan</w:t>
      </w:r>
      <w:r>
        <w:t xml:space="preserve"> </w:t>
      </w:r>
      <w:r>
        <w:t xml:space="preserve">for the upcoming year by 30 November of the preceding year.</w:t>
      </w:r>
    </w:p>
    <w:p>
      <w:pPr>
        <w:pStyle w:val="FirstParagraph"/>
      </w:pPr>
      <w:r>
        <w:rPr>
          <w:b/>
          <w:bCs/>
        </w:rPr>
        <w:t xml:space="preserve">Section 2 Pro Rata Right</w:t>
      </w:r>
    </w:p>
    <w:p>
      <w:pPr>
        <w:pStyle w:val="BodyText"/>
      </w:pPr>
      <w:r>
        <w:t xml:space="preserve">The Investor shall have a pro rata right to participate in any future equity financing in order to maintain its fully diluted percentage ownership.</w:t>
      </w:r>
    </w:p>
    <w:p>
      <w:pPr>
        <w:pStyle w:val="BodyText"/>
      </w:pPr>
      <w:r>
        <w:rPr>
          <w:b/>
          <w:bCs/>
        </w:rPr>
        <w:t xml:space="preserve">Section 3 Most Favoured Nation</w:t>
      </w:r>
    </w:p>
    <w:p>
      <w:pPr>
        <w:pStyle w:val="BodyText"/>
      </w:pPr>
      <w:r>
        <w:t xml:space="preserve">If the Company grants to any other investor any rights more favourable than those granted to the Investor, the Company shall promptly offer such rights to the Investor.</w:t>
      </w:r>
    </w:p>
    <w:p>
      <w:pPr>
        <w:pStyle w:val="BodyText"/>
      </w:pPr>
      <w:r>
        <w:rPr>
          <w:b/>
          <w:bCs/>
        </w:rPr>
        <w:t xml:space="preserve">Section 4 Seed Preference Confirmation</w:t>
      </w:r>
    </w:p>
    <w:p>
      <w:pPr>
        <w:pStyle w:val="BodyText"/>
      </w:pPr>
      <w:r>
        <w:t xml:space="preserve">The Investor’s 1x non-participating liquidation preference granted under the Seed-SHA dated 01.07.2023 shall be preserved and reflected in any subsequent financing documentation.</w:t>
      </w:r>
    </w:p>
    <w:bookmarkEnd w:id="20"/>
    <w:bookmarkStart w:id="21" w:name="folgenabschätzung-für-series-a"/>
    <w:p>
      <w:pPr>
        <w:pStyle w:val="Heading2"/>
      </w:pPr>
      <w:r>
        <w:t xml:space="preserve">Folgenabschätzung für Series 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Information Rights Stack</w:t>
      </w:r>
      <w:r>
        <w:t xml:space="preserve">. Northbridge wird im Series-A-SHA umfangreiche Informationsrechte verlangen (monthly, quarterly, annual, budget). Stahlauge hat sie bereits. Aufwand für die Mandantin: jedes Reporting-Format einmal sauber aufbauen, dann gleichmäßig an alle Berechtigten verteilen. Klassischer Anfängerfehler: nur an Northbridge schicken und Stahlauge übersehen.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MFN</w:t>
      </w:r>
      <w:r>
        <w:t xml:space="preserve">. Wenn Northbridge stärkere Rechte erhält (z. B. monatlicher KPI-Bericht, Direktzugang zu Daten), kann Stahlauge unter Section 3 die gleichen Rechte verlangen. Achtung: MFN-Klauseln können ohne ausdrücklichen Trigger auslösen.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 Rata Right</w:t>
      </w:r>
      <w:r>
        <w:t xml:space="preserve">. Stahlauge kann beim Series-A-Closing pro rata mitziehen. Im Cap-Table-Modell entsprechend reservieren. Northbridge-Mindestquote im Term Sheet (Investor Director Sitz an Series A Majority) prüfen, ob Stahlauges Pro-rata-Anteil die Majoritätsschwelle beeinflusst.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Seed Preference Confirmation</w:t>
      </w:r>
      <w:r>
        <w:t xml:space="preserve">. Im Series-A-SHA ausdrücklich aufzunehmen: Stahlauge behält seine Seed-Präferenz. Stack-Frage: Wer kommt zuerst, Series A (junior) oder Seed (senior)? Marktüblich Series A „pari passu mit Seed” oder „senior zu Seed”. Term Sheet schweigt. Klärungsbedarf.</w:t>
      </w:r>
    </w:p>
    <w:bookmarkEnd w:id="21"/>
    <w:bookmarkStart w:id="22" w:name="X8141337ad2e8638d5cb07bac2035bbbc20532dd"/>
    <w:p>
      <w:pPr>
        <w:pStyle w:val="Heading2"/>
      </w:pPr>
      <w:r>
        <w:t xml:space="preserve">Side Letter Northbridge Series A, Entwurf der Investor Counsel vom 24.05.2026</w:t>
      </w:r>
    </w:p>
    <w:p>
      <w:pPr>
        <w:pStyle w:val="FirstParagraph"/>
      </w:pPr>
      <w:r>
        <w:rPr>
          <w:b/>
          <w:bCs/>
        </w:rPr>
        <w:t xml:space="preserve">Section 1 Reserved Matters Investor Director</w:t>
      </w:r>
    </w:p>
    <w:p>
      <w:pPr>
        <w:pStyle w:val="BodyText"/>
      </w:pPr>
      <w:r>
        <w:t xml:space="preserve">The Investor Director shall have a veto right on the Reserved Matters set out in Annex 1 of the SHA. The Investor shall be entitled to consult the Investor Director prior to any board meeting at which Reserved Matters are discussed.</w:t>
      </w:r>
    </w:p>
    <w:p>
      <w:pPr>
        <w:pStyle w:val="BodyText"/>
      </w:pPr>
      <w:r>
        <w:rPr>
          <w:b/>
          <w:bCs/>
        </w:rPr>
        <w:t xml:space="preserve">Section 2 Information Rights</w:t>
      </w:r>
    </w:p>
    <w:p>
      <w:pPr>
        <w:pStyle w:val="BodyText"/>
      </w:pPr>
      <w:r>
        <w:t xml:space="preserve">In addition to the Information Rights granted under the SHA, the Investor shall be entitled to: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monthly KPI dashboard</w:t>
      </w:r>
      <w:r>
        <w:t xml:space="preserve"> </w:t>
      </w:r>
      <w:r>
        <w:t xml:space="preserve">delivered no later than the 10th business day after month-end, in the format provided by the Investor;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quarterly investor update calls</w:t>
      </w:r>
      <w:r>
        <w:t xml:space="preserve"> </w:t>
      </w:r>
      <w:r>
        <w:t xml:space="preserve">with the founders;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access to the Company’s data room</w:t>
      </w:r>
      <w:r>
        <w:t xml:space="preserve"> </w:t>
      </w:r>
      <w:r>
        <w:t xml:space="preserve">during the term of investment, including legal documents, contracts above EUR 250,000, and personnel files of C-level employees on a need-to-know basis.</w:t>
      </w:r>
    </w:p>
    <w:p>
      <w:pPr>
        <w:pStyle w:val="FirstParagraph"/>
      </w:pPr>
      <w:r>
        <w:rPr>
          <w:b/>
          <w:bCs/>
        </w:rPr>
        <w:t xml:space="preserve">Section 3 Most Favoured Investor</w:t>
      </w:r>
    </w:p>
    <w:p>
      <w:pPr>
        <w:pStyle w:val="BodyText"/>
      </w:pPr>
      <w:r>
        <w:t xml:space="preserve">If the Company grants to any other investor in any subsequent financing any rights more favourable than those granted to Northbridge, the Company shall promptly offer such rights to Northbridge.</w:t>
      </w:r>
    </w:p>
    <w:p>
      <w:pPr>
        <w:pStyle w:val="BodyText"/>
      </w:pPr>
      <w:r>
        <w:rPr>
          <w:b/>
          <w:bCs/>
        </w:rPr>
        <w:t xml:space="preserve">Section 4 Anti-Embarrassment</w:t>
      </w:r>
    </w:p>
    <w:p>
      <w:pPr>
        <w:pStyle w:val="BodyText"/>
      </w:pPr>
      <w:r>
        <w:t xml:space="preserve">For a period of 24 months following Closing, the Company shall procure that no transfer of shares occurs at a valuation higher than 130 percent of the Series A valuation without first consulting the Investor.</w:t>
      </w:r>
    </w:p>
    <w:bookmarkEnd w:id="22"/>
    <w:bookmarkStart w:id="23" w:name="spannungspunkte-für-senior-review"/>
    <w:p>
      <w:pPr>
        <w:pStyle w:val="Heading2"/>
      </w:pPr>
      <w:r>
        <w:t xml:space="preserve">Spannungspunkte für Senior-Review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KPI Dashboard im Investor-Format</w:t>
      </w:r>
      <w:r>
        <w:t xml:space="preserve">. Klingt harmlos, ist es aber nicht. Wenn Northbridge ein „bestimmtes Format” vorschreibt, kann das de facto eine kontinuierliche Reporting-Pflicht aus der Geschäftsführung herausnehmen und an die CFO-Funktion delegieren. Mandantin muss die operative Last verstehen.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Data Room Access Personalakten</w:t>
      </w:r>
      <w:r>
        <w:t xml:space="preserve">. Section 2 (c) erlaubt Zugriff auf Personalakten von C-Level. Datenschutzrechtlich nach Artikel 6 DSGVO und Paragraf 26 BDSG zu prüfen, ob eine Rechtsgrundlage für diese Verarbeitung besteht. Vermutlich nur mit Einwilligung der betroffenen Personen oder anonymisierten Daten.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Anti-Embarrassment Clause</w:t>
      </w:r>
      <w:r>
        <w:t xml:space="preserve">. Section 4 wirkt wie ein verschleiertes Vorkaufsrecht. Praktische Folge: jeder Sekundärverkauf, etwa der Gründer an Bestandsinvestoren, wird de facto blockiert. Verhandeln.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Most Favoured Investor</w:t>
      </w:r>
      <w:r>
        <w:t xml:space="preserve">. Northbridge will sich gegen MFN-Effekte des Stahlauge-Side-Letters absichern. Sauberes Mapping mit dem Stahlauge-Side-Letter erforderlich. Wenn beide Investoren MFN haben, droht eine</w:t>
      </w:r>
      <w:r>
        <w:t xml:space="preserve"> </w:t>
      </w:r>
      <w:r>
        <w:rPr>
          <w:b/>
          <w:bCs/>
        </w:rPr>
        <w:t xml:space="preserve">Endlosspirale</w:t>
      </w:r>
      <w:r>
        <w:t xml:space="preserve">: jede Verbesserung für einen Investor zieht die Verbesserung für den anderen nach sich. Lösung: Stichtagsbezug oder Ausnahmen klar definieren.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Reserved Matters Veto</w:t>
      </w:r>
      <w:r>
        <w:t xml:space="preserve">. Die Klausel formuliert das Veto auf Investor-Director-Ebene. Wie in Glossar Datei 08 erläutert, ist die GmbH-Organstruktur eine andere: Geschäftsführer haften organrechtlich. Wenn der Investor Director ein Veto-Recht hat, muss die interne Geschäftsordnung der Geschäftsführung dies abbilden, oder der Vorbehalt muss auf Gesellschafterebene gespiegelt werden. Sonst Reibungsverluste in der Praxis.</w:t>
      </w:r>
    </w:p>
    <w:bookmarkEnd w:id="23"/>
    <w:bookmarkStart w:id="24" w:name="Xf364402c9b8111d30a4755f7843725077c43c97"/>
    <w:p>
      <w:pPr>
        <w:pStyle w:val="Heading2"/>
      </w:pPr>
      <w:r>
        <w:t xml:space="preserve">Skizze Information-Rights-Stack nach Closing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Empfänger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Rechtsgrundlage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Stahlauge Ventures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P+L, Cash, 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Side Letter Section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Stahlauge Ventures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Side Letter Section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Northbridge Growth III SCS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Dashboard im Investor-Format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 Side Letter Section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Northbridge Growth III SCS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Update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 Side Letter Section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Northbridge Growth III SCS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Statements,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 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Krämer Angel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 SHA, sofern aufgenommen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VSOP-Teilnehmer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VSOP-Reporting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VSOP-Bedingungen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Beirat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Geschäftsbericht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Beiratsgeschäftsordnung</w:t>
            </w:r>
          </w:p>
        </w:tc>
      </w:tr>
    </w:tbl>
    <w:bookmarkEnd w:id="24"/>
    <w:bookmarkStart w:id="25" w:name="praxistipp"/>
    <w:p>
      <w:pPr>
        <w:pStyle w:val="Heading2"/>
      </w:pPr>
      <w:r>
        <w:t xml:space="preserve">Praxistipp</w:t>
      </w:r>
    </w:p>
    <w:p>
      <w:pPr>
        <w:pStyle w:val="FirstParagraph"/>
      </w:pPr>
      <w:r>
        <w:t xml:space="preserve">Ein gutes internes Reporting-System schluckt alle Empfänger ohne Mehraufwand. Ein schlechtes erzeugt Konflikte mit dem nächsten Investor, weil die Mandantin überfordert ist. Hildemar wird gebeten, die Mandantin auf die operative Reporting-Last hinzuweisen, bevor die Tinte trocknet.</w:t>
      </w:r>
    </w:p>
    <w:bookmarkEnd w:id="25"/>
    <w:bookmarkEnd w:id="26"/>
    <w:sectPr>
      <w:headerReference r:id="rId9" w:type="default"/>
      <w:footerReference r:id="rId10" w:type="default"/>
      <w:pgSz w:h="16838" w:w="11906"/>
      <w:pgMar w:bottom="1134" w:footer="567" w:header="567" w:left="1417" w:right="141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before="0" w:after="0"/>
      <w:pBdr>
        <w:top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Vertraulich · Akteninterne Bearbeitungsfassung</w:t>
    </w:r>
    <w:r>
      <w:tab/>
    </w:r>
    <w:r>
      <w:rPr>
        <w:rFonts w:ascii="Times New Roman" w:hAnsi="Times New Roman"/>
        <w:b w:val="0"/>
        <w:color w:val="555555"/>
        <w:sz w:val="18"/>
      </w:rPr>
      <w:t xml:space="preserve">Seite </w:t>
    </w:r>
    <w:r>
      <w:rPr>
        <w:rFonts w:ascii="Times New Roman" w:hAnsi="Times New Roman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/>
        <w:b w:val="0"/>
        <w:color w:val="555555"/>
        <w:sz w:val="18"/>
      </w:rPr>
      <w:t xml:space="preserve"> von </w:t>
    </w:r>
    <w:r>
      <w:rPr>
        <w:rFonts w:ascii="Times New Roman" w:hAnsi="Times New Roman"/>
        <w:color w:val="555555"/>
        <w:sz w:val="18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after="0"/>
      <w:pBdr>
        <w:bottom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Hagemann &amp; Westarp · Kometenfalter Systems GmbH · Series A Project Comet Moth</w:t>
    </w:r>
    <w:r>
      <w:tab/>
    </w:r>
    <w:r>
      <w:rPr>
        <w:rFonts w:ascii="Times New Roman" w:hAnsi="Times New Roman"/>
        <w:b/>
        <w:color w:val="555555"/>
        <w:sz w:val="18"/>
      </w:rPr>
      <w:t>13 — Side Letter &amp; Information Rights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  <w:sz w:val="22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2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2"/>
      <w:color w:val="000000"/>
    </w:rPr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Times New Roman" w:cs="Times New Roman" w:eastAsia="Times New Roman" w:hAnsi="Times New Roman"/>
      <w:sz w:val="22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0"/>
      <w:jc w:val="center"/>
    </w:pPr>
    <w:rPr>
      <w:rFonts w:ascii="Times New Roman" w:cs="Times New Roman" w:eastAsia="Times New Roman" w:hAnsi="Times New Roman"/>
      <w:b/>
      <w:bCs/>
      <w:sz w:val="32"/>
      <w:szCs w:val="36"/>
      <w:color w:val="00000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  <w:color w:val="00000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jc w:val="left"/>
      <w:outlineLvl w:val="1"/>
    </w:pPr>
    <w:rPr>
      <w:rFonts w:ascii="Times New Roman" w:cs="Times New Roman" w:eastAsia="Times New Roman" w:hAnsi="Times New Roman"/>
      <w:b/>
      <w:bCs/>
      <w:sz w:val="26"/>
      <w:szCs w:val="28"/>
      <w:color w:val="00000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Times New Roman" w:cs="Times New Roman" w:eastAsia="Times New Roman" w:hAnsi="Times New Roman"/>
      <w:b/>
      <w:bCs/>
      <w:sz w:val="22"/>
      <w:szCs w:val="24"/>
      <w:color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3"/>
    </w:pPr>
    <w:rPr>
      <w:rFonts w:ascii="Times New Roman" w:cs="Times New Roman" w:eastAsia="Times New Roman" w:hAnsi="Times New Roman"/>
      <w:b/>
      <w:bCs/>
      <w:i/>
      <w:sz w:val="22"/>
      <w:szCs w:val="24"/>
      <w:color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4"/>
    </w:pPr>
    <w:rPr>
      <w:rFonts w:ascii="Times New Roman" w:cs="Times New Roman" w:eastAsia="Times New Roman" w:hAnsi="Times New Roman"/>
      <w:b/>
      <w:iCs/>
      <w:sz w:val="22"/>
      <w:szCs w:val="24"/>
      <w:color w:val="00000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5"/>
    </w:pPr>
    <w:rPr>
      <w:rFonts w:ascii="Times New Roman" w:cs="Times New Roman" w:eastAsia="Times New Roman" w:hAnsi="Times New Roman"/>
      <w:b/>
      <w:sz w:val="22"/>
      <w:szCs w:val="24"/>
      <w:color w:val="00000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2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2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Times New Roman" w:cs="Times New Roman" w:hAnsi="Times New Roman"/>
      <w:sz w:val="20"/>
      <w:szCs w:val="20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DDDDD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  <Company>Hagemann &amp; Westarp Rechtsanwaltsgesellschaft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Hagemann &amp; Westarp</dc:creator>
  <cp:keywords/>
  <dcterms:created xsi:type="dcterms:W3CDTF">2026-05-29T14:08:18Z</dcterms:created>
  <dcterms:modified xsi:type="dcterms:W3CDTF">2026-05-29T14:08:18Z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