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osing-checkliste-conditions-precedent"/>
    <w:p>
      <w:pPr>
        <w:pStyle w:val="Heading1"/>
      </w:pPr>
      <w:r>
        <w:t xml:space="preserve">15 Closing Checkliste Conditions Precedent</w:t>
      </w:r>
    </w:p>
    <w:bookmarkStart w:id="20" w:name="cps-und-deliverables-gesamtübersicht"/>
    <w:p>
      <w:pPr>
        <w:pStyle w:val="Heading2"/>
      </w:pPr>
      <w:r>
        <w:t xml:space="preserve">CPs und Deliverables Gesamtübersicht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Cap Table 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 +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Pool-Shuffle entschieden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Wandlung Tante Ermelind beurkundet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Convertible-Wandlungsformel mit Northbridge geklärt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Pool-Erhöhung beschlossen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Pre-/Post-Money entschieden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Satzungsneufassung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Reserved-Matters-Mapping abgeschlossen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 Series A unterzeichnet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offene Markup-Punkte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Agreement unterzeichnet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SHA verbunden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Letters Northbridge und Krämer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inhaltlich nicht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Beirats-Geschäftsordnung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Beiratszusammensetzung 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Director Bestellung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Gesellschafterversammlung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Identifikation 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läuft noch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Certificate Geschäftsführer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Geschäftsführer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Bank-Bestätigung Disagio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Eintragung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Agreement unterzeichnet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Übernahmeerklärungen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Apostille Northbridge Vollmacht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+ LU-Notar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Vollmachten Krämer Angel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Krämer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Beglaubigte Übersetzung Vollmachten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Übersetzungsbüro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Northbridge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GwG-Vorgaben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Krämer Angel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Krämer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GwG-Vorgaben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 Tante Ermelind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Tante Ermelind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GwG-Vorgaben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Mandantin Kunigunde Pre-Closing-Briefing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sobald SHA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Steuerliche Klärung VSOP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Closing-Dokumentation abgestimmt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IP-Bereinigung Entwicklerverträge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DD-Red-Flag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Consent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DD-Red-Flag 05; sofern Closing als Change of Control klassifiziert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 Auftragsverarbeiter-Verträge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Verzicht Stahlauge auf Pro-Rata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Stahlauge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sofern Stahlauge nicht mitzieht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Seed-Präferenz Stahlauge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Stahlauge + Mandantenkanzlei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SHA als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Certificate Investoren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neuer Gesellschafter nach Paragraf 40 GmbHG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Beurkundung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GwG-Transparenzregistermeldung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Geschäftsführer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innerhalb Frist nach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Bekanntmachung Eintragung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Eintragung</w:t>
            </w:r>
          </w:p>
        </w:tc>
      </w:tr>
    </w:tbl>
    <w:p>
      <w:pPr>
        <w:pStyle w:val="BodyText"/>
      </w:pPr>
      <w:r>
        <w:t xml:space="preserve">Legende: grün = Standard, kein Risiko. gelb = in Bearbeitung. rot = offene Verhandlungs- oder Klärungsthemen.</w:t>
      </w:r>
    </w:p>
    <w:bookmarkEnd w:id="20"/>
    <w:bookmarkStart w:id="26" w:name="cps-detail"/>
    <w:p>
      <w:pPr>
        <w:pStyle w:val="Heading2"/>
      </w:pPr>
      <w:r>
        <w:t xml:space="preserve">CPs Detail</w:t>
      </w:r>
    </w:p>
    <w:bookmarkStart w:id="21" w:name="cp-1-final-cap-table-v18"/>
    <w:p>
      <w:pPr>
        <w:pStyle w:val="Heading3"/>
      </w:pPr>
      <w:r>
        <w:t xml:space="preserve">CP 1: Final Cap Table v18</w:t>
      </w:r>
    </w:p>
    <w:p>
      <w:pPr>
        <w:pStyle w:val="FirstParagraph"/>
      </w:pPr>
      <w:r>
        <w:t xml:space="preserve">Pre-Money 12 Mio. EUR fully diluted. Pool soll 12 Prozent post-Pool-Shuffle erreichen. Wandlung Tante Ermelind eingerechnet, Variante Valuation Cap.</w:t>
      </w:r>
    </w:p>
    <w:p>
      <w:pPr>
        <w:pStyle w:val="BodyText"/>
      </w:pPr>
      <w:r>
        <w:t xml:space="preserve">To do bis Closing:</w:t>
      </w:r>
    </w:p>
    <w:p>
      <w:pPr>
        <w:pStyle w:val="Compact"/>
        <w:numPr>
          <w:ilvl w:val="0"/>
          <w:numId w:val="1001"/>
        </w:numPr>
      </w:pPr>
      <w:r>
        <w:t xml:space="preserve">Variante Pool pre-money vs post-money rechnen, mit Mandantin Kunigunde am Tisch durchgehen.</w:t>
      </w:r>
    </w:p>
    <w:p>
      <w:pPr>
        <w:pStyle w:val="Compact"/>
        <w:numPr>
          <w:ilvl w:val="0"/>
          <w:numId w:val="1001"/>
        </w:numPr>
      </w:pPr>
      <w:r>
        <w:t xml:space="preserve">VSOP-Anteile separat im Cap Table ausweisen, nicht in Gesellschafterliste.</w:t>
      </w:r>
    </w:p>
    <w:p>
      <w:pPr>
        <w:pStyle w:val="Compact"/>
        <w:numPr>
          <w:ilvl w:val="0"/>
          <w:numId w:val="1001"/>
        </w:numPr>
      </w:pPr>
      <w:r>
        <w:t xml:space="preserve">Wandlung Convertible mit Anteilszahl finalisieren.</w:t>
      </w:r>
    </w:p>
    <w:bookmarkEnd w:id="21"/>
    <w:bookmarkStart w:id="22" w:name="cp-2-wandlung-tante-ermelind"/>
    <w:p>
      <w:pPr>
        <w:pStyle w:val="Heading3"/>
      </w:pPr>
      <w:r>
        <w:t xml:space="preserve">CP 2: Wandlung Tante Ermelind</w:t>
      </w:r>
    </w:p>
    <w:p>
      <w:pPr>
        <w:pStyle w:val="FirstParagraph"/>
      </w:pPr>
      <w:r>
        <w:t xml:space="preserve">Beurkundete Übernahmeerklärung Tante Ermelind, Wandlung im Rahmen der Kapitalerhöhung, Anteilszahl nach Wandlungsformel.</w:t>
      </w:r>
    </w:p>
    <w:p>
      <w:pPr>
        <w:pStyle w:val="BodyText"/>
      </w:pPr>
      <w:r>
        <w:t xml:space="preserve">To do:</w:t>
      </w:r>
    </w:p>
    <w:p>
      <w:pPr>
        <w:pStyle w:val="Compact"/>
        <w:numPr>
          <w:ilvl w:val="0"/>
          <w:numId w:val="1002"/>
        </w:numPr>
      </w:pPr>
      <w:r>
        <w:t xml:space="preserve">Wandlungsschreiben Tante Ermelind formgerecht (beurkundungspflichtig nach Paragraf 55 GmbHG für die Übernahmeerklärung).</w:t>
      </w:r>
    </w:p>
    <w:p>
      <w:pPr>
        <w:pStyle w:val="Compact"/>
        <w:numPr>
          <w:ilvl w:val="0"/>
          <w:numId w:val="1002"/>
        </w:numPr>
      </w:pPr>
      <w:r>
        <w:t xml:space="preserve">MFL-Check abschließen.</w:t>
      </w:r>
    </w:p>
    <w:p>
      <w:pPr>
        <w:pStyle w:val="Compact"/>
        <w:numPr>
          <w:ilvl w:val="0"/>
          <w:numId w:val="1002"/>
        </w:numPr>
      </w:pPr>
      <w:r>
        <w:t xml:space="preserve">Side Letter Tante Ermelind aufsetzen, sofern Informationsrechte und Pro-Rata gewünscht.</w:t>
      </w:r>
    </w:p>
    <w:bookmarkEnd w:id="22"/>
    <w:bookmarkStart w:id="23" w:name="Xbb249afec568f2bbafb1f59ee800829a575b6cc"/>
    <w:p>
      <w:pPr>
        <w:pStyle w:val="Heading3"/>
      </w:pPr>
      <w:r>
        <w:t xml:space="preserve">CP 5 und CP 6: SHA und Investment Agreement</w:t>
      </w:r>
    </w:p>
    <w:p>
      <w:pPr>
        <w:pStyle w:val="FirstParagraph"/>
      </w:pPr>
      <w:r>
        <w:t xml:space="preserve">Offene Markup-Punkte aus Datei 11 abarbeiten:</w:t>
      </w:r>
    </w:p>
    <w:p>
      <w:pPr>
        <w:pStyle w:val="Compact"/>
        <w:numPr>
          <w:ilvl w:val="0"/>
          <w:numId w:val="1003"/>
        </w:numPr>
      </w:pPr>
      <w:r>
        <w:t xml:space="preserve">Liquidation Preference 1x participating cap 2x vs 1x non-participating</w:t>
      </w:r>
    </w:p>
    <w:p>
      <w:pPr>
        <w:pStyle w:val="Compact"/>
        <w:numPr>
          <w:ilvl w:val="0"/>
          <w:numId w:val="1003"/>
        </w:numPr>
      </w:pPr>
      <w:r>
        <w:t xml:space="preserve">Vesting Credit 18 Monate vs 24 Monate</w:t>
      </w:r>
    </w:p>
    <w:p>
      <w:pPr>
        <w:pStyle w:val="Compact"/>
        <w:numPr>
          <w:ilvl w:val="0"/>
          <w:numId w:val="1003"/>
        </w:numPr>
      </w:pPr>
      <w:r>
        <w:t xml:space="preserve">Drag-Schwelle 50 Prozent + Majority vs 60 Prozent + Majority</w:t>
      </w:r>
    </w:p>
    <w:p>
      <w:pPr>
        <w:pStyle w:val="Compact"/>
        <w:numPr>
          <w:ilvl w:val="0"/>
          <w:numId w:val="1003"/>
        </w:numPr>
      </w:pPr>
      <w:r>
        <w:t xml:space="preserve">Reserved Matters Liste finalisieren</w:t>
      </w:r>
    </w:p>
    <w:bookmarkEnd w:id="23"/>
    <w:bookmarkStart w:id="24" w:name="cp-10-disclosure-letter"/>
    <w:p>
      <w:pPr>
        <w:pStyle w:val="Heading3"/>
      </w:pPr>
      <w:r>
        <w:t xml:space="preserve">CP 10: Disclosure Letter</w:t>
      </w:r>
    </w:p>
    <w:p>
      <w:pPr>
        <w:pStyle w:val="FirstParagraph"/>
      </w:pPr>
      <w:r>
        <w:t xml:space="preserve">Spielt die Reps and Warranties aus dem SPA-Teil. Hier eintragen:</w:t>
      </w:r>
    </w:p>
    <w:p>
      <w:pPr>
        <w:pStyle w:val="Compact"/>
        <w:numPr>
          <w:ilvl w:val="0"/>
          <w:numId w:val="1004"/>
        </w:numPr>
      </w:pPr>
      <w:r>
        <w:t xml:space="preserve">Wandeldarlehen Tante Ermelind (Section 4.x „Other Material Agreements”).</w:t>
      </w:r>
    </w:p>
    <w:p>
      <w:pPr>
        <w:pStyle w:val="Compact"/>
        <w:numPr>
          <w:ilvl w:val="0"/>
          <w:numId w:val="1004"/>
        </w:numPr>
      </w:pPr>
      <w:r>
        <w:t xml:space="preserve">IP-Lage Entwicklerverträge mit „work made for hire”-Formulierung.</w:t>
      </w:r>
    </w:p>
    <w:p>
      <w:pPr>
        <w:pStyle w:val="Compact"/>
        <w:numPr>
          <w:ilvl w:val="0"/>
          <w:numId w:val="1004"/>
        </w:numPr>
      </w:pPr>
      <w:r>
        <w:t xml:space="preserve">Customer Consent Change of Control bei Enterprise-Kunde.</w:t>
      </w:r>
    </w:p>
    <w:p>
      <w:pPr>
        <w:pStyle w:val="Compact"/>
        <w:numPr>
          <w:ilvl w:val="0"/>
          <w:numId w:val="1004"/>
        </w:numPr>
      </w:pPr>
      <w:r>
        <w:t xml:space="preserve">VSOP-Programm Stand.</w:t>
      </w:r>
    </w:p>
    <w:p>
      <w:pPr>
        <w:pStyle w:val="Compact"/>
        <w:numPr>
          <w:ilvl w:val="0"/>
          <w:numId w:val="1004"/>
        </w:numPr>
      </w:pPr>
      <w:r>
        <w:t xml:space="preserve">Beiratsbeschlüsse Slack-Stichpunkte.</w:t>
      </w:r>
    </w:p>
    <w:bookmarkEnd w:id="24"/>
    <w:bookmarkStart w:id="25" w:name="cp-22-ip-bereinigung-entwicklerverträge"/>
    <w:p>
      <w:pPr>
        <w:pStyle w:val="Heading3"/>
      </w:pPr>
      <w:r>
        <w:t xml:space="preserve">CP 22: IP-Bereinigung Entwicklerverträge</w:t>
      </w:r>
    </w:p>
    <w:p>
      <w:pPr>
        <w:pStyle w:val="FirstParagraph"/>
      </w:pPr>
      <w:r>
        <w:t xml:space="preserve">DD-Red-Flag 05. Bis Closing: ergänzende Abtretungserklärung der Entwickler, beidseitig unterzeichnet, schriftliche Bestätigung der Übertragung nach deutschem Recht (Paragraf 31 ff. UrhG).</w:t>
      </w:r>
    </w:p>
    <w:bookmarkEnd w:id="25"/>
    <w:bookmarkEnd w:id="26"/>
    <w:bookmarkStart w:id="27" w:name="cp-vergleich-gegen-term-sheet-cp-liste"/>
    <w:p>
      <w:pPr>
        <w:pStyle w:val="Heading2"/>
      </w:pPr>
      <w:r>
        <w:t xml:space="preserve">CP-Vergleich gegen Term-Sheet-CP-Liste</w:t>
      </w:r>
    </w:p>
    <w:p>
      <w:pPr>
        <w:pStyle w:val="FirstParagraph"/>
      </w:pPr>
      <w:r>
        <w:t xml:space="preserve">Hildemar muss vor Closing prüfen: was steht im Term Sheet als CP, was steht in der CP-Liste oben, und wo gibt es Lücken oder Doppelungen.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 Sheet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 CP-Liste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Lücke / Anmerkung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„Satisfactory legal due diligence”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breite Klausel, intern in DD-Findings übersetzt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„No material adverse change”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interner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bewusst ausgelassen, prüfen ob für Mandantin tragbar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„Approval of the Investment Committee”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interner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Northbridge-internes Approval, außerhalb unserer Kontrolle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„Customary closing certificates”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11,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erfasst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„Bring-down of representations”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interner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übersehen, ergänzen</w:t>
            </w:r>
          </w:p>
        </w:tc>
      </w:tr>
    </w:tbl>
    <w:bookmarkEnd w:id="27"/>
    <w:bookmarkStart w:id="28" w:name="post-closing-themen"/>
    <w:p>
      <w:pPr>
        <w:pStyle w:val="Heading2"/>
      </w:pPr>
      <w:r>
        <w:t xml:space="preserve">Post-Closing-Themen</w:t>
      </w:r>
    </w:p>
    <w:p>
      <w:pPr>
        <w:pStyle w:val="Compact"/>
        <w:numPr>
          <w:ilvl w:val="0"/>
          <w:numId w:val="1005"/>
        </w:numPr>
      </w:pPr>
      <w:r>
        <w:t xml:space="preserve">Bekanntmachung der Eintragung im elektronischen Bundesanzeiger.</w:t>
      </w:r>
    </w:p>
    <w:p>
      <w:pPr>
        <w:pStyle w:val="Compact"/>
        <w:numPr>
          <w:ilvl w:val="0"/>
          <w:numId w:val="1005"/>
        </w:numPr>
      </w:pPr>
      <w:r>
        <w:t xml:space="preserve">Aktualisierung Transparenzregister nach GwG.</w:t>
      </w:r>
    </w:p>
    <w:p>
      <w:pPr>
        <w:pStyle w:val="Compact"/>
        <w:numPr>
          <w:ilvl w:val="0"/>
          <w:numId w:val="1005"/>
        </w:numPr>
      </w:pPr>
      <w:r>
        <w:t xml:space="preserve">Update KYC bei Banken.</w:t>
      </w:r>
    </w:p>
    <w:p>
      <w:pPr>
        <w:pStyle w:val="Compact"/>
        <w:numPr>
          <w:ilvl w:val="0"/>
          <w:numId w:val="1005"/>
        </w:numPr>
      </w:pPr>
      <w:r>
        <w:t xml:space="preserve">VSOP-Update an Teilnehmer.</w:t>
      </w:r>
    </w:p>
    <w:p>
      <w:pPr>
        <w:pStyle w:val="Compact"/>
        <w:numPr>
          <w:ilvl w:val="0"/>
          <w:numId w:val="1005"/>
        </w:numPr>
      </w:pPr>
      <w:r>
        <w:t xml:space="preserve">Public Communication mit Mandantin abstimmen (PR-Erlaubnis, Logo-Rechte).</w:t>
      </w:r>
    </w:p>
    <w:p>
      <w:pPr>
        <w:pStyle w:val="Compact"/>
        <w:numPr>
          <w:ilvl w:val="0"/>
          <w:numId w:val="1005"/>
        </w:numPr>
      </w:pPr>
      <w:r>
        <w:t xml:space="preserve">Quartalsweise Information-Rights-Stack scharf stellen.</w:t>
      </w:r>
    </w:p>
    <w:bookmarkEnd w:id="28"/>
    <w:bookmarkStart w:id="29" w:name="senior-review-gates"/>
    <w:p>
      <w:pPr>
        <w:pStyle w:val="Heading2"/>
      </w:pPr>
      <w:r>
        <w:t xml:space="preserve">Senior-Review-Gates</w:t>
      </w:r>
    </w:p>
    <w:p>
      <w:pPr>
        <w:pStyle w:val="FirstParagraph"/>
      </w:pPr>
      <w:r>
        <w:t xml:space="preserve">Vor Closing prüft Adelheid:</w:t>
      </w:r>
    </w:p>
    <w:p>
      <w:pPr>
        <w:pStyle w:val="Compact"/>
        <w:numPr>
          <w:ilvl w:val="0"/>
          <w:numId w:val="1006"/>
        </w:numPr>
      </w:pPr>
      <w:r>
        <w:t xml:space="preserve">CP-Liste vollständig und konsistent mit Term Sheet.</w:t>
      </w:r>
    </w:p>
    <w:p>
      <w:pPr>
        <w:pStyle w:val="Compact"/>
        <w:numPr>
          <w:ilvl w:val="0"/>
          <w:numId w:val="1006"/>
        </w:numPr>
      </w:pPr>
      <w:r>
        <w:t xml:space="preserve">Wandlung Tante Ermelind formgerecht und in Cap Table abgebildet.</w:t>
      </w:r>
    </w:p>
    <w:p>
      <w:pPr>
        <w:pStyle w:val="Compact"/>
        <w:numPr>
          <w:ilvl w:val="0"/>
          <w:numId w:val="1006"/>
        </w:numPr>
      </w:pPr>
      <w:r>
        <w:t xml:space="preserve">Drag- und Vesting-Verhandlungsergebnisse mit Mandantin schriftlich abgestimmt.</w:t>
      </w:r>
    </w:p>
    <w:p>
      <w:pPr>
        <w:pStyle w:val="Compact"/>
        <w:numPr>
          <w:ilvl w:val="0"/>
          <w:numId w:val="1006"/>
        </w:numPr>
      </w:pPr>
      <w:r>
        <w:t xml:space="preserve">Notarslot und Übersetzungslogistik gesichert.</w:t>
      </w:r>
    </w:p>
    <w:p>
      <w:pPr>
        <w:pStyle w:val="Compact"/>
        <w:numPr>
          <w:ilvl w:val="0"/>
          <w:numId w:val="1006"/>
        </w:numPr>
      </w:pPr>
      <w:r>
        <w:t xml:space="preserve">Mandantenmemo in deutscher Sprache, ohne Anglizismen-Stapel, freigegeben.</w:t>
      </w:r>
    </w:p>
    <w:p>
      <w:pPr>
        <w:pStyle w:val="Compact"/>
        <w:numPr>
          <w:ilvl w:val="0"/>
          <w:numId w:val="1006"/>
        </w:numPr>
      </w:pPr>
      <w:r>
        <w:t xml:space="preserve">Disclosure Letter vollständig.</w:t>
      </w:r>
    </w:p>
    <w:bookmarkEnd w:id="29"/>
    <w:bookmarkEnd w:id="30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15 — Closing-Checkliste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2026-05-29T14:08:20Z</dcterms:created>
  <dcterms:modified xsi:type="dcterms:W3CDTF">2026-05-29T14:08:20Z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