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Bauunternehmen Mertens GmbH</w:t>
        <w:br/>
        <w:t>Siemensstraße 22, 32105 Bad Salzuflen</w:t>
      </w:r>
    </w:p>
    <w:p>
      <w:r>
        <w:t>Nora Brinkmann</w:t>
        <w:br/>
        <w:t>Kaufmännische Leitung</w:t>
      </w:r>
    </w:p>
    <w:p>
      <w:r>
        <w:t>25. September 2026</w:t>
      </w:r>
    </w:p>
    <w:p>
      <w:pPr>
        <w:pStyle w:val="Title"/>
      </w:pPr>
      <w:r>
        <w:t>Weiterer Belegstapel und Projektkonto</w:t>
      </w:r>
    </w:p>
    <w:p>
      <w:pPr>
        <w:pStyle w:val="Heading1"/>
        <w:keepNext/>
        <w:widowControl/>
        <w:spacing w:after="0"/>
      </w:pPr>
      <w:r>
        <w:t>1 Umfang und Kontoabgrenzung</w:t>
      </w:r>
    </w:p>
    <w:p>
      <w:pPr>
        <w:keepNext/>
        <w:spacing w:before="0" w:after="0" w:line="220" w:lineRule="exact"/>
        <w:rPr>
          <w:sz w:val="22"/>
          <w:szCs w:val="22"/>
        </w:rPr>
      </w:pPr>
    </w:p>
    <w:p>
      <w:pPr>
        <w:widowControl/>
      </w:pPr>
      <w:r>
        <w:t>Ergänzend zum zuerst übergebenen Stapel erhalten Sie 14 weitere Rechnungen und zwei Rechnungskorrekturen. Keine davon ist in den Dateien 01 bis 30 enthalten. Sie betreffen dieselben beiden Projekte, wurden aber über das getrennte Projektkonto 471109 abgewickelt. Die bisherigen Bankdaten und Kostenaufstellungen bleiben für ihren ausgewählten Stapel richtig. Der zusätzliche Kostenstand darf bei einer Zusammenführung einmal hinzugezählt werden; die Bankbestände sind nach Kontonummer getrennt zu führen.</w:t>
      </w:r>
    </w:p>
    <w:p>
      <w:pPr>
        <w:pStyle w:val="Heading1"/>
        <w:keepNext/>
        <w:widowControl/>
        <w:spacing w:after="0"/>
      </w:pPr>
      <w:r>
        <w:t>2 Arbeitsstand der Buchhaltung</w:t>
      </w:r>
    </w:p>
    <w:p>
      <w:pPr>
        <w:keepNext/>
        <w:spacing w:before="0" w:after="0" w:line="220" w:lineRule="exact"/>
        <w:rPr>
          <w:sz w:val="22"/>
          <w:szCs w:val="22"/>
        </w:rPr>
      </w:pPr>
    </w:p>
    <w:p>
      <w:pPr>
        <w:widowControl/>
      </w:pPr>
      <w:r>
        <w:t>Das Eingangsjournal und die OPOS sind der Arbeitsstand des Büros. Datei 52 enthält noch nicht freigegebene Buchungsvorschläge, keine ausgeführten Hauptbuchbuchungen. Jeder Satz besteht aus mehreren Kontenzeilen mit Soll- und Habenbeträgen. Die Konten in Datei 53 und die Schlüssel V19, RC19 und OHNE sind unser fallinterner Übungsstamm; sie sind kein DATEV-Importformat und dürfen nicht ungeprüft in ein anderes System übertragen werden. Steuerbeträge stehen bereits auf eigenen Zeilen. Ein Import darf nicht zusätzlich automatische Steuerbuchungen erzeugen.</w:t>
      </w:r>
    </w:p>
    <w:p>
      <w:pPr>
        <w:pStyle w:val="Heading1"/>
        <w:keepNext/>
        <w:widowControl/>
        <w:spacing w:after="0"/>
      </w:pPr>
      <w:r>
        <w:t>3 Zahlungsstand und offene Punkte</w:t>
      </w:r>
    </w:p>
    <w:p>
      <w:pPr>
        <w:keepNext/>
        <w:spacing w:before="0" w:after="0" w:line="220" w:lineRule="exact"/>
        <w:rPr>
          <w:sz w:val="22"/>
          <w:szCs w:val="22"/>
        </w:rPr>
      </w:pPr>
    </w:p>
    <w:p>
      <w:pPr>
        <w:widowControl/>
      </w:pPr>
      <w:r>
        <w:t>Steinwerk erhielt eine Sammelüberweisung für zwei Rechnungen. Die Zuordnung steht in Datei 57. Für den Minibagger wurden erst 500,00 EUR gezahlt; der Rest bleibt offen. Die beiden Rechnungskorrekturen mindern jeweils nur die zugehörige Rechnung. Bei Retzer fehlt die inhaltliche Freigabe der Planfassung. Trockenbau Vogt und Sanitär Ahle sind noch unbezahlt. Für diese beiden Lieferanten fehlen die Freistellungsbescheinigungen und Angaben zu weiteren Jahresleistungen. Vor einer Zahlung müssen Bauabzugsteuer und Zahlungsbetrag gesondert geklärt werden. Die vorhandene USt-1-TG-Bescheinigung von Mertens ersetzt diese Prüfung nicht.</w:t>
      </w:r>
    </w:p>
    <w:p>
      <w:pPr>
        <w:pStyle w:val="Heading1"/>
        <w:keepNext/>
        <w:widowControl/>
        <w:spacing w:after="0"/>
      </w:pPr>
      <w:r>
        <w:t>4 Nächster Arbeitsauftrag</w:t>
      </w:r>
    </w:p>
    <w:p>
      <w:pPr>
        <w:keepNext/>
        <w:spacing w:before="0" w:after="0" w:line="220" w:lineRule="exact"/>
        <w:rPr>
          <w:sz w:val="22"/>
          <w:szCs w:val="22"/>
        </w:rPr>
      </w:pPr>
    </w:p>
    <w:p>
      <w:pPr>
        <w:widowControl/>
      </w:pPr>
      <w:r>
        <w:t>Bitte prüfen Sie die Rechnungserfassung gegen die Einzelbelege, stimmen Sie Buchungsvorschläge und OPOS mit dem Projektkonto ab und erstellen Sie die erforderlichen Rückfragen. Dokumentieren Sie bestätigte Änderungen im bestehenden Arbeitsstand mit Belegbezug. Die Buchungs- und Bankfreigabe bleibt bei Nora Brinkmann und Tobias Mertens. Die Excel-Datei enthält den bereits erfassten Arbeitsstand und darf zur Prüfung und Fortschreibung bearbeitet werden.</w:t>
      </w:r>
    </w:p>
    <w:p>
      <w:pPr>
        <w:widowControl/>
      </w:pPr>
      <w:r>
        <w:t>Tobias Mertens</w:t>
        <w:br/>
        <w:t>Geschäftsführer</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52"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Weiterer Belegstapel und Projektkonto</dc:title>
  <dc:subject/>
  <dc:creator>Klotzkette</dc:creator>
  <cp:keywords/>
  <dc:description>generated by python-docx</dc:description>
  <cp:lastModifiedBy>Klotzkette</cp:lastModifiedBy>
  <cp:revision>1</cp:revision>
  <dcterms:created xsi:type="dcterms:W3CDTF">2026-09-25T16:00:00Z</dcterms:created>
  <dcterms:modified xsi:type="dcterms:W3CDTF">2026-09-25T16:00:00Z</dcterms:modified>
  <cp:category/>
  <dc:language>de-DE</dc:language>
</cp:coreProperties>
</file>