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Mitteilung zum Rechtskraftnachweis</w:t>
      </w:r>
    </w:p>
    <w:p>
      <w:r>
        <w:t>20.07.2026 · 12 II 94/25</w:t>
      </w:r>
    </w:p>
    <w:p>
      <w:r>
        <w:t>Sehr geehrter Herr Notar Hopf,</w:t>
      </w:r>
    </w:p>
    <w:p>
      <w:r>
        <w:t>zu Ihrem Ersuchen übersenden wir den Rechtskraftnachweis zu dem Ausschließungsbeschluss vom 04.06.2026 im Verfahren 12 II 94/25. Nach dem Verfahrensstand ist der Beschluss seit dem 17.07.2026 rechtskräftig. Die Ausfertigung mit dem Rechtskraftvermerk wird auf dem vereinbarten Weg an Ihr Büro übermittelt.</w:t>
      </w:r>
    </w:p>
    <w:p>
      <w:r>
        <w:t>Bitte verwenden Sie bei Rückfragen weiterhin das oben genannte Aktenzeichen. Eine Erteilung des neuen Grundschuldbriefs ist nicht Gegenstand dieser Mitteilung.</w:t>
      </w:r>
    </w:p>
    <w:p>
      <w:r>
        <w:t>Mit freundlichen Grüßen</w:t>
        <w:br/>
        <w:t>Geschäftsstelle des Amtsgerichts Hildesheim</w:t>
        <w:br/>
        <w:t>Textabschrift des zur Akte gereichten Begleitschreibens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Mitteilung zum Rechtskraftnachweis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