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der KanalKlang Werkstätten GmbH</w:t>
      </w:r>
    </w:p>
    <w:p>
      <w:r>
        <w:t>01.10.2026 · K 311/26</w:t>
      </w:r>
    </w:p>
    <w:p>
      <w:r>
        <w:t>Sehr geehrte Frau Rechtsanwältin Knöpfle,</w:t>
      </w:r>
    </w:p>
    <w:p>
      <w:r>
        <w:t>wir möchten die Halle am Kanal finanzieren, ohne unnötig alte Sicherheiten zu löschen und neue Gebühren auszulösen. Die neue Bank verlangt einen ersten Rang. Die alte Bank heißt inzwischen anders, und der Dienstleister Morgenrot schickt Formulare, auf denen wieder ein anderer Name steht.</w:t>
      </w:r>
    </w:p>
    <w:p>
      <w:r>
        <w:t>Bitte prüfen Sie die Unterlagen und bereiten Sie die erforderlichen Schreiben vor. Der Notar soll am 12. Oktober den weiteren Vollzug besprechen. Ich möchte vorher verstehen, ob wir löschen oder abtreten und was mit dem Wegerecht passiert.</w:t>
      </w:r>
    </w:p>
    <w:p>
      <w:r>
        <w:t>Außerdem würde ich gern das Nachbargrundstück kaufen. Ich kenne den Eigentümer nicht. Unabhängig davon führt unser eingetragenes Wegerecht über dieses Grundstück, und die neue Schranke behindert die Anlieferung. Bitte trennen Sie diese beiden Fragen.</w:t>
      </w:r>
    </w:p>
    <w:p>
      <w:r>
        <w:t>Mit freundlichen Grüßen</w:t>
        <w:br/>
        <w:t>Fiete Engelbert Özdemir</w:t>
        <w:br/>
        <w:t>Geschäftsführer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der KanalKlang Werkstätten GmbH</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