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Antwort zur Eigentümeranfrage – Textabschrift</w:t>
      </w:r>
    </w:p>
    <w:p>
      <w:r>
        <w:t>29.09.2026</w:t>
      </w:r>
    </w:p>
    <w:p>
      <w:r>
        <w:t>Sehr geehrter Herr Özdemir,</w:t>
      </w:r>
    </w:p>
    <w:p>
      <w:r>
        <w:t>Ihre Anfrage vom 27.09.2026 ist eingegangen. Allein der Wunsch, den Eigentümer für erstmalige Kaufverhandlungen zu ermitteln, legt kein berechtigtes Interesse an der begehrten Auskunft dar. Die Mitteilung der Eigentümerkontaktdaten kann auf dieser Grundlage nicht erfolgen.</w:t>
      </w:r>
    </w:p>
    <w:p>
      <w:r>
        <w:t>Sollten Sie eine konkrete eigene Rechtsposition geltend machen, die sich auf das bezeichnete Grundstück bezieht, ist diese mit dem benötigten Umfang der Einsicht und geeigneten Nachweisen darzustellen. Eine allgemeine Kaufabsicht ersetzt dies nicht.</w:t>
      </w:r>
    </w:p>
    <w:p>
      <w:r>
        <w:t>Mit freundlichen Grüßen</w:t>
        <w:br/>
        <w:t>Urkundsbeamtin der Geschäftsstelle</w:t>
        <w:br/>
        <w:t>Textabschrift des eingegangenen Schreibens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Antwort zur Eigentümeranfrage – Textabschrift</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