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Gesellschaftsvertrag – Arbeitsabschrift der maßgeblichen Bestimmungen</w:t>
      </w:r>
    </w:p>
    <w:p>
      <w:r>
        <w:t>09.05.2024</w:t>
      </w:r>
    </w:p>
    <w:p>
      <w:r>
        <w:t>1. Firma und Sitz</w:t>
      </w:r>
    </w:p>
    <w:p>
      <w:r>
        <w:t>Die Gesellschaft führt die Firma Kiezkolben Maschinenverleih GmbH. Ihr Sitz ist Berlin.</w:t>
      </w:r>
    </w:p>
    <w:p>
      <w:r>
        <w:t>2. Stammkapital und Geschäftsanteile</w:t>
      </w:r>
    </w:p>
    <w:p>
      <w:r>
        <w:t>Das Stammkapital beträgt 25.000 EUR. Es ist in zehn Geschäftsanteile mit den laufenden Nummern 1 bis 10 im Nennbetrag von jeweils 2.500 EUR eingeteilt. Jede volle Einheit von einem Euro eines Geschäftsanteils gewährt eine Stimme.</w:t>
      </w:r>
    </w:p>
    <w:p>
      <w:r>
        <w:t>3. Verfügung über Geschäftsanteile</w:t>
      </w:r>
    </w:p>
    <w:p>
      <w:r>
        <w:t>Die Abtretung eines Geschäftsanteils oder eines Teils davon bedarf der Zustimmung der Gesellschafterversammlung. Der Beschluss wird mit mindestens 75 Prozent der abgegebenen Stimmen gefasst. Der veräußernde Gesellschafter ist bei diesem Beschluss stimmberechtigt. Die Zustimmung kann vor Abschluss des Abtretungsvertrags erteilt werden und ist schriftlich zu dokumentieren.</w:t>
      </w:r>
    </w:p>
    <w:p>
      <w:r>
        <w:t>4. Beschlussfassung</w:t>
      </w:r>
    </w:p>
    <w:p>
      <w:r>
        <w:t>Beschlüsse können außerhalb einer Versammlung in Textform gefasst werden, wenn sämtliche Gesellschafter mit dieser Form der Beschlussfassung einverstanden sind. Die Geschäftsführung übersendet den vollständigen Beschlussantrag und setzt eine angemessene Antwortfrist. Nicht abgegebene Stimmen gelten nicht als Zustimmung.</w:t>
      </w:r>
    </w:p>
    <w:p>
      <w:r>
        <w:t>5. Geschäftsführung</w:t>
      </w:r>
    </w:p>
    <w:p>
      <w:r>
        <w:t>Die Gesellschafterversammlung bestellt und beruft Geschäftsführer ab. Bei mehreren Geschäftsführern wird die Gesellschaft durch zwei Geschäftsführer gemeinsam oder durch einen Geschäftsführer gemeinsam mit einem Prokuristen vertreten. Einzelvertretung und Befreiung von den Beschränkungen des § 181 BGB können durch Gesellschafterbeschluss erteilt werden.</w:t>
      </w:r>
    </w:p>
    <w:p>
      <w:r>
        <w:t>Übernommen aus dem vollständigen Satzungstext vom 09.05.2024. Die übrigen Bestimmungen betreffen Geschäftsjahr, Gewinnverwendung, Einziehung und Bekanntmachungen. Die vollständige Datei liegt nach Auskunft der Buchhaltung im Notariatsarchiv.</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Gesellschaftsvertrag – Arbeitsabschrift der maßgeblichen Bestimmungen</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