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Articles of Association – Arbeitsübersetzung der Organisationsregeln</w:t>
      </w:r>
    </w:p>
    <w:p>
      <w:r>
        <w:t>19.09.2026</w:t>
      </w:r>
    </w:p>
    <w:p>
      <w:r>
        <w:t>Unterlagenbezug: Ceylon Cloud (Private) Limited, Fassung aus dem Gesellschaftsordner vom 18.11.2019, übersandt am 19.09.2026.</w:t>
      </w:r>
    </w:p>
    <w:p>
      <w:r>
        <w:t>1. Zusammensetzung des Board</w:t>
      </w:r>
    </w:p>
    <w:p>
      <w:r>
        <w:t>Die Gesellschaft hat mindestens zwei Direktoren. Das Board führt die Geschäfte, soweit eine Angelegenheit nicht durch zwingendes Recht oder diese Articles der Gesellschafterversammlung vorbehalten ist. Eine Vakanz ist zeitnah zu besetzen.</w:t>
      </w:r>
    </w:p>
    <w:p>
      <w:r>
        <w:t>2. Sitzung und Beschlussfähigkeit</w:t>
      </w:r>
    </w:p>
    <w:p>
      <w:r>
        <w:t>Sitzungen können durch persönliche Teilnahme oder eine gleichzeitige audiovisuelle Verbindung stattfinden. Jeder amtierende Direktor soll eine Einladung mit den wesentlichen Beratungsgegenständen erhalten. Für die Beschlussfähigkeit sind zwei Direktoren erforderlich. Eine Beteiligung per Telefon genügt, wenn alle Teilnehmer einander hören und sich zum Beschlussgegenstand äußern können.</w:t>
      </w:r>
    </w:p>
    <w:p>
      <w:r>
        <w:t>3. Schriftliche Beschlüsse</w:t>
      </w:r>
    </w:p>
    <w:p>
      <w:r>
        <w:t>Ein außerhalb einer Sitzung gefasster Beschluss ist wirksam, wenn sämtliche zur Mitwirkung berechtigten Direktoren dem vollständigen Beschlusstext zustimmen. Die Zustimmung kann in getrennten Dokumenten erklärt werden, sofern der Wortlaut übereinstimmt. Der Company Secretary hält die Erklärungen in der Beschlusssammlung fest.</w:t>
      </w:r>
    </w:p>
    <w:p>
      <w:r>
        <w:t>4. Ausführung von Geschäften</w:t>
      </w:r>
    </w:p>
    <w:p>
      <w:r>
        <w:t>Dokumente werden für die Gesellschaft durch zwei Direktoren oder durch eine Person unterzeichnet, die aufgrund eines wirksam gefassten Board-Beschlusses für das bezeichnete Geschäft hierzu ermächtigt ist. Die Ermächtigung soll Gegenstand und Umfang des Geschäfts erkennen lassen. Diese Bestimmung trifft keine Aussage über zusätzliche zwingende gesetzliche Anforderungen.</w:t>
      </w:r>
    </w:p>
    <w:p>
      <w:r>
        <w:t>5. Dokumentation</w:t>
      </w:r>
    </w:p>
    <w:p>
      <w:r>
        <w:t>Der Company Secretary verwahrt Beschlüsse und führt die Gesellschaftsunterlagen. Er kann Abschriften aus dieser Sammlung bestätigen. Allein aus dieser Aufgabe folgt nach dem vorliegenden Text keine allgemeine Vertretungsmacht für Anteilserwerbe.</w:t>
      </w:r>
    </w:p>
    <w:p>
      <w:r>
        <w:t>Anmerkung der Übersetzerin: Die Fassung wurde aus einem zugesandten Scan übertragen. Ob spätere Änderungen registriert oder beschlossen wurden, ist nicht Gegenstand des Übersetzungsauftrags.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Articles of Association – Arbeitsübersetzung der Organisationsregeln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