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Beschlussprotokoll vom 05.09.2026</w:t>
      </w:r>
    </w:p>
    <w:p>
      <w:r>
        <w:t>05.09.2026</w:t>
      </w:r>
    </w:p>
    <w:p>
      <w:r>
        <w:t>Nachtbrot Automaten GmbH</w:t>
        <w:br/>
        <w:t>Gesellschafterversammlung in Berlin am 05.09.2026,09:00 Uhr.</w:t>
      </w:r>
    </w:p>
    <w:p>
      <w:r>
        <w:t>Anwesend sind Ottilie Wursthorn mit einem Anteil im Nennbetrag von 15.000 EUR, Milan Petrović mit 6.250 EUR und Bao-Linh Sauter mit 3.750 EUR. Sämtliche Gesellschafter sind mit der Durchführung und der angekündigten Tagesordnung einverstanden.</w:t>
      </w:r>
    </w:p>
    <w:p>
      <w:r>
        <w:t>1. Firma und Sitz</w:t>
      </w:r>
    </w:p>
    <w:p>
      <w:r>
        <w:t>Die Firma soll in Nachtbrot GmbH geändert werden. Der Satzungssitz soll von Berlin nach Potsdam verlegt werden. Die entsprechende Änderung der Satzung soll notariell beurkundet und zur Eintragung angemeldet werden. Die Geschäftsanschrift soll ab tatsächlicher Aufnahme des Bürobetriebs Malzweg 12,14473Potsdam, lauten.</w:t>
      </w:r>
    </w:p>
    <w:p>
      <w:r>
        <w:t>2. Operative Standorte</w:t>
      </w:r>
    </w:p>
    <w:p>
      <w:r>
        <w:t>Der Berliner Automatenservice wird weiter betrieben. Für Leipzig soll zunächst nur ein Lagerraum mit etwa 40 Quadratmetern angemietet werden. Eine eigene Leitung, ein eigener Kundenstamm oder eine selbständige Abrechnung am Leipziger Standort werden derzeit nicht eingerichtet. Über eine spätere organisatorische Erweiterung wird erneut beschlossen.</w:t>
      </w:r>
    </w:p>
    <w:p>
      <w:r>
        <w:t>3. Kommunikation</w:t>
      </w:r>
    </w:p>
    <w:p>
      <w:r>
        <w:t>Die neue Kurzbezeichnung darf in Entwürfen vorbereitet werden. Die Geschäftsführung soll vor der endgültigen Umstellung des rechtlichen Briefkopfs den Registervollzug prüfen. Die Marke und die Internetadresse „Nachtbrot“ sollen unverändert genutzt werden.</w:t>
      </w:r>
    </w:p>
    <w:p>
      <w:r>
        <w:t>Die Beschlüsse wurden einstimmig gefasst. Dieses Protokoll dokumentiert die interne Beschlussfassung; der notarielle Termin zur Satzungsänderung ist für den 11.09.2026 vorgesehen.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Beschlussprotokoll vom 05.09.2026</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