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Satzung – Organisationsbestimmungen</w:t>
      </w:r>
    </w:p>
    <w:p>
      <w:r>
        <w:t>17.04.2021</w:t>
      </w:r>
    </w:p>
    <w:p>
      <w:r>
        <w:t>1. Geschäftsführung und Vertretung</w:t>
      </w:r>
    </w:p>
    <w:p>
      <w:r>
        <w:t>Die Gesellschaft hat einen oder mehrere Geschäftsführer. Ist nur ein Geschäftsführer bestellt, vertritt dieser allein. Bei mehreren Geschäftsführern vertreten zwei Geschäftsführer gemeinsam oder ein Geschäftsführer gemeinsam mit einem Prokuristen. Die Gesellschafterversammlung kann einzelnen Geschäftsführern Einzelvertretungsbefugnis und Befreiung von den Beschränkungen des § 181 BGB erteilen.</w:t>
      </w:r>
    </w:p>
    <w:p>
      <w:r>
        <w:t>2. Gesellschafterbeschlüsse</w:t>
      </w:r>
    </w:p>
    <w:p>
      <w:r>
        <w:t>Soweit Gesetz oder Satzung nichts anderes bestimmen, werden Beschlüsse mit einfacher Mehrheit der abgegebenen Stimmen gefasst. Je ein Euro eines Geschäftsanteils gewährt eine Stimme. Eine Beschlussfassung außerhalb einer Versammlung ist zulässig, wenn sämtliche Gesellschafter der konkreten Form zustimmen.</w:t>
      </w:r>
    </w:p>
    <w:p>
      <w:r>
        <w:t>3. Zustimmungspflichtige Geschäfte</w:t>
      </w:r>
    </w:p>
    <w:p>
      <w:r>
        <w:t>Die Geschäftsführung bedarf intern der Zustimmung der Gesellschafterversammlung für Investitionen von mehr als 75.000 EUR im Einzelfall sowie für die Bestellung von Prokuristen. Die Vertretungsbefugnis gegenüber Dritten richtet sich nach den gesetzlichen Vorschriften. Eine interne Zustimmung ersetzt keine erforderliche Mitwirkung eines weiteren Vertretungsberechtigten.</w:t>
      </w:r>
    </w:p>
    <w:p>
      <w:r>
        <w:t>4. Personal und Vollmachten</w:t>
      </w:r>
    </w:p>
    <w:p>
      <w:r>
        <w:t>Die Geschäftsführung organisiert die Personalverwaltung und kann Handlungsvollmachten erteilen. Die Personalabteilung handelt innerhalb der ihr übertragenen Aufgaben. Eine allgemeine Befugnis zur Erteilung oder zum Widerruf von Prokura ist mit der Leitung der Personalabteilung nicht verbunden.</w:t>
      </w:r>
    </w:p>
    <w:p>
      <w:r>
        <w:t>Arbeitsabschrift der Fassung vom 17.04.2021, erstellt für die Akte am 29.09.2026. Die vollständige Satzungsdatei wurde dem Notariat bereits übermittelt.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Satzung – Organisationsbestimmungen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