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Bestellung VT-260929</w:t>
      </w:r>
    </w:p>
    <w:p>
      <w:r>
        <w:t>29.09.2026</w:t>
      </w:r>
    </w:p>
    <w:p>
      <w:r>
        <w:t>Bestellerin: Polter Veranstaltungstechnik GmbH, Kulissenweg 8, 12059 Berlin.</w:t>
        <w:br/>
        <w:t>Lieferantin: Bühnenbolzen Technik GmbH, Rampenstraße 22, 39108 Magdeburg.</w:t>
      </w:r>
    </w:p>
    <w:p>
      <w:r>
        <w:t>1. Ware und Preis</w:t>
      </w:r>
    </w:p>
    <w:p>
      <w:r>
        <w:t>Bestellt werden 48 Aluminiumtraversen des Typs BB-T40, 96 Verbinder und zwei Transportwagen gemäß Angebot BB-447 vom 10.09.2026. Der Gesamtpreis beträgt 38.400 EUR netto zuzüglich gesetzlicher Umsatzsteuer. Die Lieferung soll bis zum 30.10.2026 an das Berliner Lager erfolgen.</w:t>
      </w:r>
    </w:p>
    <w:p>
      <w:r>
        <w:t>2. Zahlung</w:t>
      </w:r>
    </w:p>
    <w:p>
      <w:r>
        <w:t>Eine Anzahlung von 30 Prozent ist nach schriftlicher Auftragsbestätigung fällig. Der Rest ist binnen 14 Tagen nach vollständiger Lieferung und Rechnungseingang zu zahlen. Die Parteien haben keine automatische Belastung des Bankkontos vereinbart.</w:t>
      </w:r>
    </w:p>
    <w:p>
      <w:r>
        <w:t>3. Annahme und Unterzeichnung</w:t>
      </w:r>
    </w:p>
    <w:p>
      <w:r>
        <w:t>Auf der von der Lieferantin zurückgesandten Arbeitskopie steht unter „Polter Veranstaltungstechnik GmbH“ die Textzeile „ppa. Erna-Louise Zickzack“. Ein zweites Namensfeld ist leer. Im Begleittext der E-Mail vom 29.09.2026, 18:02 Uhr, schrieb Erna: „Hieronymus hat es grundsätzlich freigegeben; seine Unterschrift kommt nach.“</w:t>
      </w:r>
    </w:p>
    <w:p>
      <w:r>
        <w:t>Die Lieferantin bestätigte am 30.09.2026, 09:11 Uhr, die Reservierung der Ware und bat um eine zweite Unterschrift oder einen aktuellen Nachweis, dass Erna allein handeln dürfe. Eine Anzahlung ist im beigefügten Zahlungsjournal bis zum 01.10.2026 nicht erfasst.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Bestellung VT-260929</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