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Aufnahme Farbwerk</w:t>
      </w:r>
    </w:p>
    <w:p>
      <w:r>
        <w:t>25.09.2026 · 26-112-FW</w:t>
      </w:r>
    </w:p>
    <w:p>
      <w:r>
        <w:t>Die Farbwerk Heimbedarf GmbH betreibt fünf Fachmärkte für Heimwerkerbedarf in Niedersachsen. Die geschäftsführende Gesellschafterin Edeltraud Nguyen übernahm die Leitung 2024 von ihrem Vater Wilibald Schlotterbeck. Seit 2021 wird im Außenauftritt die Farbe Aubergine eingesetzt. Die Gesellschaft hieß bei Anmeldung noch Schlotterbeck Heimbedarf GmbH.</w:t>
      </w:r>
    </w:p>
    <w:p>
      <w:r>
        <w:t>Die Akte betrifft eine deutsche abstrakte Farbmarke für Einzelhandelsdienstleistungen in Bezug auf Heimwerker- und Gartenbedarfswaren. In der internen Registerabschrift steht als Farbdefinition RAL 4007. Ein Wettbewerber hat Nichtigkeit wegen fehlender Unterscheidungskraft und fehlender Verkehrsdurchsetzung beantragt. Die Zulässigkeit und der Verfahrensstand sind anhand der vollständigen Amtsakte zu klären.</w:t>
      </w:r>
    </w:p>
    <w:p>
      <w:r>
        <w:t>Die Geschäftsführerin hält eine Kundenbefragung mit 71 Prozent Zuordnung für entscheidend. Der Gegner hat eine breitere Erhebung vorgelegt. Im Marketing werden Farbe und weißer Schriftzug regelmäßig zusammen verwendet. Die Kanzlei soll die Befragungen, die konkrete Schutzform und die noch nicht erledigte Umfirmierung im Markenregister prüfen.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Aufnahme Farbwerk</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