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Auszug aus dem Vortrag der Gartenfokus Handels GmbH</w:t>
      </w:r>
    </w:p>
    <w:p>
      <w:r>
        <w:t>11.09.2026</w:t>
      </w:r>
    </w:p>
    <w:p>
      <w:r>
        <w:t>Die Gartenfokus Handels GmbH beantragt die Erklärung der Nichtigkeit der abstrakten Farbmarke. Sie meint, die Farbe werde als dekorative Hausfarbe verstanden. Die Eintragung beruhe auf einer unzureichenden Auswahl befragter Personen; nur Besucher der Märkte seien in die damalige Befragung aufgenommen worden.</w:t>
      </w:r>
    </w:p>
    <w:p>
      <w:r>
        <w:t>Die Antragstellerin legt eine neue Erhebung vor, die Erwachsene einschließlich Nichtkunden erfasst. Sie verweist außerdem auf einen von Farbwerk verwendeten weißen Schriftzug. Die bekannte Wort-/Bildgestaltung lasse keinen sicheren Schluss auf eine herkunftshinweisende Wirkung der isolierten Farbe zu.</w:t>
      </w:r>
    </w:p>
    <w:p>
      <w:r>
        <w:t>Die Antragstellerin bestreitet nicht, dass Farbwerk wirtschaftlich erfolgreich ist und die Farbe häufig verwendet. Sie bestreitet jedoch die Gleichsetzung von Unternehmensbekanntheit, Erinnerungswert des Logos und Verkehrsdurchsetzung der abstrakten Farbmarke.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6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40" w:line="26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Auszug aus dem Vortrag der Gartenfokus Handels GmbH</dc:title>
  <dc:subject/>
  <dc:creator>Aktenverwaltung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