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Verwendung der Hausfarbe</w:t>
      </w:r>
    </w:p>
    <w:p>
      <w:r>
        <w:t>23.09.2026</w:t>
      </w:r>
    </w:p>
    <w:p>
      <w:r>
        <w:t>Die Fassaden sämtlicher fünf Märkte zeigen die Farbe Aubergine zusammen mit einem weißen Schriftzug. Die Einkaufstaschen und Werbeprospekte enthalten zusätzlich ein Blattmotiv. Auf Einkaufswagen und einigen Regalböden wird die Farbe allein verwendet. Es liegen aber nur wenige datierte Fotos dieser isolierten Verwendung vor.</w:t>
      </w:r>
    </w:p>
    <w:p>
      <w:r>
        <w:t>Seit März 2024 wird das Wort FAR BWERK in der Gestaltung mit einem schmalen Abstand zwischen R und B eingesetzt. Im Fließtext schreiben wir Farbwerk. Die Marketingabteilung hat bisher sämtliche Auftritte in einer gemeinsamen Bildablage geführt, ohne nach abstrakter Farbe, Wortmarke und Wort-/Bildzeichen zu unterscheiden.</w:t>
      </w:r>
    </w:p>
    <w:p>
      <w:r>
        <w:t>Eine im Frühjahr 2026 geplante Onlinekampagne „Seit 1897 für Ihr Zuhause“ wurde nicht veröffentlicht. Das Unternehmen besteht nach den vorliegenden Unterlagen seit 1989. Die Zahl 1897 stammt aus einer alten Werkzeugkiste des Großvaters und sollte nostalgisch wirken.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Verwendung der Hausfarbe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