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Firmenänderung und Geschäftsanschrift</w:t>
      </w:r>
    </w:p>
    <w:p>
      <w:r>
        <w:t>24.09.2026</w:t>
      </w:r>
    </w:p>
    <w:p>
      <w:r>
        <w:t>Die Gesellschaft führte bis 15.03.2024 die Firma Schlotterbeck Heimbedarf GmbH. Durch Satzungsänderung wurde sie in Farbwerk Heimbedarf GmbH umbenannt. Es handelt sich nach dem beigefügten internen Firmenblatt um denselben Rechtsträger. Ein Unternehmenskauf oder eine Übertragung der Marke war nicht Bestandteil des Vorgangs.</w:t>
      </w:r>
    </w:p>
    <w:p>
      <w:r>
        <w:t>Die Geschäftsanschrift lautet seit 01.08.2025 Werkallee 26, 31137 Hildesheim. Das Markenverwaltungsblatt nennt noch Gewerbering 9. Die Post wird derzeit über einen Nachsendeauftrag weitergeleitet, dessen Laufzeit Ende 2026 ausläuft.</w:t>
      </w:r>
    </w:p>
    <w:p>
      <w:r>
        <w:t>Die Assistenz findet einen vorbereiteten Antrag auf Änderung der Anschrift, aber keinen Sende- oder Eintragungsnachweis. Der Antrag soll vor einer erneuten Übermittlung mit dem aktuellen Registerstand abgeglichen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Firmenänderung und Geschäftsanschrift</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