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Vorbereitung der Verteidigung</w:t>
      </w:r>
    </w:p>
    <w:p>
      <w:r>
        <w:t>29.09.2026</w:t>
      </w:r>
    </w:p>
    <w:p>
      <w:r>
        <w:t>Edeltraud möchte die Farbmarke verteidigen, aber keine unzutreffende Aussage über eine repräsentative Umfrage machen. Das Institut soll die ursprünglichen Materialien liefern. Die Kanzlei soll erklären, ob und wofür eine neue Erhebung hilfreich wäre; die Geschäftsleitung gibt noch kein Budget frei.</w:t>
      </w:r>
    </w:p>
    <w:p>
      <w:r>
        <w:t>Die Wort- und Wort-/Bildmarken sollen von dem Nichtigkeitsverfahren getrennt behandelt werden. Es ist nicht beabsichtigt, wegen der Auseinandersetzung um die Farbe sämtliche anderen Kennzeichen aufzugeben. Die Registeränderung der Firma und Anschrift soll unabhängig davon vorbereitet werden.</w:t>
      </w:r>
    </w:p>
    <w:p>
      <w:r>
        <w:t>Der Umschlag zur Amtsmitteilung befindet sich wahrscheinlich bei Wilibald. Er hat die Post vom alten Standort abgeholt. Der zuständige Mitarbeiter soll ihn bis zum Nachmittag anrufen. Das Originaldatum ist noch nicht bestätigt.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Vorbereitung der Verteidigung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