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Vorbereitung der Übergabe vom bisherigen Vertreter</w:t>
      </w:r>
    </w:p>
    <w:p>
      <w:r>
        <w:t>30.09.2026</w:t>
      </w:r>
    </w:p>
    <w:p>
      <w:r>
        <w:t>Fritzi hat den bisherigen Vertreter am 29.09.2026 um die vollständige Portalakte, sämtliche Zustellinformationen und die aktuelle Vollmacht gebeten. Bis zum Stand dieses Vermerks liegt nur die automatische Eingangsbestätigung der Kanzlei vor. Eine Vertretungsänderung beim EUIPO ist noch nicht dokumentiert.</w:t>
      </w:r>
    </w:p>
    <w:p>
      <w:r>
        <w:t>Die neue Kanzlei soll zunächst mit den vorhandenen Unterlagen arbeiten. Nach Eingang der Portalakte sind sämtliche Fristangaben abzugleichen. Ein behauptetes Cooling-off-Ende aus dem Telefonat wurde nicht in den Kalender als gesicherte Amtsfrist übernommen.</w:t>
      </w:r>
    </w:p>
    <w:p>
      <w:r>
        <w:t>Für eine Entscheidung über eine Warenbeschränkung will Fritzi die genaue Reichweite und die wirtschaftlichen Folgen schriftlich sehen. Die angefragten Originalbelege zur Benutzung und zur Erwerbskette sind gesondert zu behandeln.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Vorbereitung der Übergabe vom bisherigen Vertreter</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