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Gespeicherter Anmeldeentwurf vom 19.08.2026</w:t>
      </w:r>
    </w:p>
    <w:p>
      <w:r>
        <w:t>19.08.2026</w:t>
      </w:r>
    </w:p>
    <w:p>
      <w:r>
        <w:t>Der Entwurf wurde lokal aus der Arbeitsmaske in eine Textdatei übertragen. Anmelderin: Ottilie Knorr, Werkhof 18, Berlin. Markentyp: Wort-/Bildmarke. Angegebener Wortbestandteil: RUMPELRAD. Bilddatei: RR_01_grau.png. Verzeichnis: „Fahrräder; Software; Verkauf; Reparaturen; Mobilität“. Klassenfeld: 9, 12, 35.</w:t>
      </w:r>
    </w:p>
    <w:p>
      <w:r>
        <w:t>Priorität: keine Angabe. Vertreter: nicht eingetragen. Zahlungsart: noch nicht gewählt. Das interne Kommentarfeld lautet: „Später vielleicht Firma einsetzen“. Der Entwurf trägt keine Sendebestätigung und keine amtliche Nummer. Im Browserordner ist lediglich die Kennzeichnung „lokal gespeichert“ sichtbar.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Gespeicherter Anmeldeentwurf vom 19.08.2026</dc:title>
  <dc:subject/>
  <dc:creator>Aktenverwaltung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