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Besprechung im Werkhof</w:t>
      </w:r>
    </w:p>
    <w:p>
      <w:r>
        <w:t>29.09.2026</w:t>
      </w:r>
    </w:p>
    <w:p>
      <w:r>
        <w:t>Am 29.09.2026 besprechen Ottilie, Idris und Eberhard die Markenstrategie. Ottilie bleibt bei der deutschen Wortmarke RUMPELRAD. Eberhard möchte die Reparaturleistungen berücksichtigt wissen. Idris weist darauf hin, dass die App noch nicht öffentlich verfügbar ist, aber unter demselben Zeichen angeboten werden soll.</w:t>
      </w:r>
    </w:p>
    <w:p>
      <w:r>
        <w:t>Eine Anmeldung für Helme oder Kindersitze wird nicht beschlossen. Für einen Onlinehandel mit fremden Waren gibt es noch keine Entscheidung. Ottilie bittet die Kanzlei, den Schutzumfang in zwei sinnvollen Varianten mit Kosten vorzulegen. Sie möchte das alte Onlineformular nicht ungeprüft weiterverwenden.</w:t>
      </w:r>
    </w:p>
    <w:p>
      <w:r>
        <w:t>Die Beteiligten beauftragen keine Zahlung und keine Kontaktaufnahme mit dem ähnlich bezeichneten Unternehmen. Ein möglicher Konflikt soll zunächst anhand vollständiger Registerinformationen bewertet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im Werkhof</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