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Vollmacht für den Markenvorgang – Entwurf</w:t>
      </w:r>
    </w:p>
    <w:p>
      <w:r>
        <w:t>29.09.2026</w:t>
      </w:r>
    </w:p>
    <w:p>
      <w:r>
        <w:t>Die Rumpelrad Mobilität UG (haftungsbeschränkt), vertreten durch die Geschäftsführerin Ottilie Knorr, beabsichtigt, Rechtsanwältin Salome Hummel mit der Vorbereitung und Begleitung einer deutschen Markenanmeldung RUMPELRAD zu beauftragen. Die Vertretungsregel der Gesellschaft ist vor Unterzeichnung anhand des amtlichen Registerauszugs zu prüfen.</w:t>
      </w:r>
    </w:p>
    <w:p>
      <w:r>
        <w:t>Der vorliegende Entwurf umfasst keine Ermächtigung zur Aufgabe bestehender Schutzrechte, zur Unterzeichnung einer Koexistenzvereinbarung oder zur Entgegennahme eines kostenpflichtigen privaten Registerangebots. Die konkrete Anmeldung soll erst nach Bestätigung von Inhaber, Zeichenform und Endverzeichnis eingereicht werden.</w:t>
      </w:r>
    </w:p>
    <w:p>
      <w:r>
        <w:t>Bearbeitungsstand: nicht unterzeichnet. Ort und Datum werden bei Freigabe ergänzt. Die Beauftragung ersetzt nicht die gesonderte Prüfung erforderlicher Vertretungsbefugnis beim jeweiligen Amt.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für den Markenvorgang – Entwurf</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