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Vertrag der Kranichhof Werkstätten KG – maßgebliche Regelungen</w:t>
      </w:r>
    </w:p>
    <w:p>
      <w:r>
        <w:t>05.01.2026</w:t>
      </w:r>
    </w:p>
    <w:p>
      <w:pPr>
        <w:pStyle w:val="Heading1"/>
      </w:pPr>
      <w:r>
        <w:t>1. Kapital und Stimmen</w:t>
      </w:r>
    </w:p>
    <w:p>
      <w:r>
        <w:t>Hildegund Krawall übernimmt 40.000 Euro Festkapital, Erwin Blechschmidt 30.000 Euro und Samira Yilmaz 30.000 Euro. Je 1.000 Euro Festkapital gewähren eine Stimme. Die Komplementärin erhält keine zusätzliche Stimme.</w:t>
      </w:r>
    </w:p>
    <w:p>
      <w:pPr>
        <w:pStyle w:val="Heading1"/>
      </w:pPr>
      <w:r>
        <w:t>2. Beirat</w:t>
      </w:r>
    </w:p>
    <w:p>
      <w:r>
        <w:t>Der Beirat besteht aus drei von der Kommanditistenversammlung gewählten Mitgliedern. Die Wahl erfolgt mit einfacher Mehrheit. Der Beirat entscheidet mit einfacher Mehrheit. Die Bestellung und Abberufung der Geschäftsführer der Komplementärin bedarf seiner vorherigen Zustimmung.</w:t>
      </w:r>
    </w:p>
    <w:p>
      <w:pPr>
        <w:pStyle w:val="Heading1"/>
      </w:pPr>
      <w:r>
        <w:t>3. Geschäftsführung</w:t>
      </w:r>
    </w:p>
    <w:p>
      <w:r>
        <w:t>Die Komplementärin führt die Geschäfte der KG. Jahresbudget, Erwerb oder Veräußerung eines Hofs sowie Darlehen über 200.000 Euro bedürfen vorheriger Zustimmung des Beirats. Eine ohne erforderliche Zustimmung vorgenommene Geschäftsführerbestellung ist im Innenverhältnis unverzüglich rückgängig zu machen. Die Parteien haben gesonderte gesellschaftsrechtliche Vollzugsregeln vereinbart.</w:t>
      </w:r>
    </w:p>
    <w:p>
      <w:r>
        <w:t>Dieser Auszug wurde aus der in der Geschäftsführung vorhandenen Vertragsfassung erstellt.</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40" w:line="269" w:lineRule="auto"/>
      <w:outlineLvl w:val="0"/>
    </w:pPr>
    <w:rPr>
      <w:rFonts w:asciiTheme="majorHAnsi" w:eastAsiaTheme="majorEastAsia" w:hAnsiTheme="majorHAnsi" w:cstheme="majorBidi"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pBdr>
        <w:bottom w:val="single" w:sz="8" w:space="4" w:color="4F81BD" w:themeColor="accent1"/>
      </w:pBdr>
      <w:spacing w:after="140" w:line="269" w:lineRule="auto"/>
      <w:contextualSpacing/>
    </w:pPr>
    <w:rPr>
      <w:rFonts w:asciiTheme="majorHAnsi" w:eastAsiaTheme="majorEastAsia" w:hAnsiTheme="majorHAnsi" w:cstheme="majorBidi"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Vertrag der Kranichhof Werkstätten KG – maßgebliche Regelungen</dc:title>
  <dc:subject/>
  <dc:creator>Aktenverwaltung</dc:creator>
  <cp:keywords/>
  <dc:description>generated by python-docx</dc:description>
  <cp:lastModifiedBy/>
  <cp:revision>1</cp:revision>
  <dcterms:created xsi:type="dcterms:W3CDTF">2026-10-01T09:00:00Z</dcterms:created>
  <dcterms:modified xsi:type="dcterms:W3CDTF">2026-10-01T09:00:00Z</dcterms:modified>
  <cp:category/>
</cp:coreProperties>
</file>