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Nachtrag zur Stimmbindung</w:t>
      </w:r>
    </w:p>
    <w:p>
      <w:r>
        <w:t>12.03.2026</w:t>
      </w:r>
    </w:p>
    <w:p>
      <w:r>
        <w:t>Hildegund Krawall und Samira Yilmaz ändern ihre Vereinbarung vom 7. Januar wie folgt.</w:t>
      </w:r>
    </w:p>
    <w:p>
      <w:pPr>
        <w:pStyle w:val="Heading1"/>
      </w:pPr>
      <w:r>
        <w:t>1. Einheitliche Stimmabgabe</w:t>
      </w:r>
    </w:p>
    <w:p>
      <w:r>
        <w:t>Die Parteien stimmen künftig nach der von Hildegund bestimmten gemeinsamen Linie ab. Samira erteilt Hildegund dazu eine Stimmvollmacht. Hildegund hat Samira zuvor anzuhören, ist an deren Votum jedoch nicht gebunden.</w:t>
      </w:r>
    </w:p>
    <w:p>
      <w:pPr>
        <w:pStyle w:val="Heading1"/>
      </w:pPr>
      <w:r>
        <w:t>2. Wirksamkeit</w:t>
      </w:r>
    </w:p>
    <w:p>
      <w:r>
        <w:t>Der Nachtrag wird wirksam, sobald die Uferbank die neue Betriebsmittellinie schriftlich freigibt. Die Parteien werden den Eintritt dieser Bedingung in ihrer gemeinsamen Ablage festhalten.</w:t>
      </w:r>
    </w:p>
    <w:p>
      <w:pPr>
        <w:pStyle w:val="Heading1"/>
      </w:pPr>
      <w:r>
        <w:t>3. Laufzeit</w:t>
      </w:r>
    </w:p>
    <w:p>
      <w:r>
        <w:t>Die Vereinbarung gilt bis zum 31. Dezember 2027. Das bisherige ordentliche Kündigungsrecht entfällt für diesen Zeitraum. Zwingende Rechte bleiben unberührt.</w:t>
      </w:r>
    </w:p>
    <w:p>
      <w:r>
        <w:t>Beide Namensangaben stehen unter der am 12. März ausgetauschten Fassung. Der Ausdruck enthält handschriftlich den Bürovermerk: Freigabe Bank noch prüfen.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Nachtrag zur Stimmbindung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