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Gesellschaftsvertrag – Arbeitsauszug aus den geltenden Regelungen</w:t>
      </w:r>
    </w:p>
    <w:p>
      <w:r>
        <w:t>17.03.2025</w:t>
      </w:r>
    </w:p>
    <w:p>
      <w:pPr>
        <w:pStyle w:val="Heading1"/>
      </w:pPr>
      <w:r>
        <w:t>1. Kapital und Stimmen</w:t>
      </w:r>
    </w:p>
    <w:p>
      <w:r>
        <w:t>Das Stammkapital beträgt 25.000 Euro. Jeder Euro eines Geschäftsanteils gewährt eine Stimme. Soweit Gesetz oder dieser Vertrag nichts anderes bestimmen, werden Beschlüsse mit einfacher Mehrheit der abgegebenen Stimmen gefasst.</w:t>
      </w:r>
    </w:p>
    <w:p>
      <w:pPr>
        <w:pStyle w:val="Heading1"/>
      </w:pPr>
      <w:r>
        <w:t>2. Geschäftsführung</w:t>
      </w:r>
    </w:p>
    <w:p>
      <w:r>
        <w:t>Die Gesellschafterversammlung bestellt und entlässt die Geschäftsführer. Die Geschäftsführung bedarf für Grundstücksgeschäfte, Darlehen von mehr als 250.000 Euro und die Einstellung eines weiteren Geschäftsführers der Zustimmung der Gesellschafterversammlung.</w:t>
      </w:r>
    </w:p>
    <w:p>
      <w:pPr>
        <w:pStyle w:val="Heading1"/>
      </w:pPr>
      <w:r>
        <w:t>3. Besondere Mehrheiten</w:t>
      </w:r>
    </w:p>
    <w:p>
      <w:r>
        <w:t>Änderungen des Gesellschaftsvertrags und die Auflösung bedürfen einer Mehrheit von 75 Prozent der abgegebenen Stimmen, soweit zwingendes Recht keine andere Anforderung stellt. Besondere Rechte einzelner Gesellschafter zur Bestellung von Geschäftsführern sind nicht vereinbart.</w:t>
      </w:r>
    </w:p>
    <w:p>
      <w:pPr>
        <w:pStyle w:val="Heading1"/>
      </w:pPr>
      <w:r>
        <w:t>4. Nebenabreden</w:t>
      </w:r>
    </w:p>
    <w:p>
      <w:r>
        <w:t>Der vorliegende Arbeitsauszug gibt die für die interne Finanzierungsvorbereitung ausgewählten Klauseln wieder. Die vollständige Satzung bleibt im Gesellschaftsordner verfügbar.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Gesellschaftsvertrag – Arbeitsauszug aus den geltenden Regelungen</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