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Gespräch zur Finanzierung und Zuständigkeit</w:t>
      </w:r>
    </w:p>
    <w:p>
      <w:r>
        <w:t>30.09.2026</w:t>
      </w:r>
    </w:p>
    <w:p>
      <w:r>
        <w:t>Teilgenommen haben Hella Knusper, Anton Rumpel und Noura Birk am 30. September von 14 bis 14:40 Uhr.</w:t>
      </w:r>
    </w:p>
    <w:p>
      <w:r>
        <w:t>Hella möchte die Bankunterlagen bis Freitag vervollständigen. Sie erklärt, sie habe den ursprünglichen Poolvertrag erst am 28. September vollständig gesehen. Anton erwidert, beim gemeinsamen Abendessen Ende August sei die Stimmabstimmung erwähnt worden. Hella erinnert sich an eine Beratung, aber nicht an ein verbindliches Letztentscheidungsrecht.</w:t>
      </w:r>
    </w:p>
    <w:p>
      <w:r>
        <w:t>Anton sagt, der neue Nachtrag habe die Sache schon entschärft. Auf die Frage nach Ainos Zustimmung verweist er auf das noch ausstehende Montagsgespräch. Noura soll beide Dateien an die Kanzlei geben.</w:t>
      </w:r>
    </w:p>
    <w:p>
      <w:r>
        <w:t>Hella übernimmt künftig die Registerkorrespondenz. Über eine agentische Übertragung ins Portal entscheidet sie nach Vorlage des geprüften Datensatzes. Die Anwesenden verständigen sich darauf, bis dahin keine weitere Registermeldung auszulösen.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Gespräch zur Finanzierung und Zuständigkeit</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