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Errichtung der Stifterglück-Familienstiftung</w:t>
      </w:r>
    </w:p>
    <w:p>
      <w:r>
        <w:t>14.02.2024</w:t>
      </w:r>
    </w:p>
    <w:p>
      <w:r>
        <w:t>Ursula Pumpernickel errichtet durch Vereinbarung mit Edeltraud Zwirn eine nichtrechtsfähige Stiftung unter der Bezeichnung Stifterglück-Familienstiftung. Das Vermögen wird von Edeltraud getrennt von ihrem eigenen Vermögen verwaltet. Eine staatliche Anerkennung als rechtsfähige Stiftung wird mit dieser Vereinbarung nicht beantragt.</w:t>
      </w:r>
    </w:p>
    <w:p>
      <w:r>
        <w:t>Zweck ist die Unterstützung von Ursulas Kindern und deren Abkömmlingen bei Ausbildung, Krankheit und Aufbau einer eigenen beruflichen Existenz. Leistungen erfolgen nach den näheren Regeln der Satzung. Die Stiftung verfolgt insoweit die privaten Familieninteressen der Stifterin.</w:t>
      </w:r>
    </w:p>
    <w:p>
      <w:r>
        <w:t>Zum Anfangsvermögen gehören ein Geldbetrag von 250.000 Euro und die in einem gesonderten Übertragungsvertrag bezeichneten Geschäftsanteile an der Stifterglück Werkstatt GmbH. Die Treuhänderin nimmt die Verwaltung an.</w:t>
      </w:r>
    </w:p>
    <w:p>
      <w:r>
        <w:t>Änderungs- und Rückforderungsrechte richten sich nach der Satzung und dem Treuhandvertrag. Die Bezeichnung Stiftung ist im Geschäftsverkehr stets zusammen mit dem Hinweis auf die treuhänderische Verwaltung zu verwenden.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Errichtung der Stifterglück-Familienstiftung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