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Vertrag über die Vermögensverwaltung</w:t>
      </w:r>
    </w:p>
    <w:p>
      <w:r>
        <w:t>14.02.2024</w:t>
      </w:r>
    </w:p>
    <w:p>
      <w:r>
        <w:t>Ursula Pumpernickel und Edeltraud Zwirn vereinbaren die treuhänderische Verwaltung des Vermögens der nichtrechtsfähigen Stifterglück-Familienstiftung. Edeltraud hält die übertragenen Vermögensgegenstände im eigenen Namen, jedoch getrennt und ausschließlich für die in der Satzung bezeichneten Zwecke.</w:t>
      </w:r>
    </w:p>
    <w:p>
      <w:r>
        <w:t>Edeltraud darf das Vermögen nicht für eigene Verbindlichkeiten verwenden. Erträge fließen auf ein gesondert geführtes Verwaltungskonto. Über Zahlungen an Begünstigte entscheidet der Familienbeirat. Edeltraud prüft vor der Auszahlung, ob ein entsprechender Beschluss vorliegt.</w:t>
      </w:r>
    </w:p>
    <w:p>
      <w:r>
        <w:t>Die Stimmrechte an der Stifterglück Werkstatt GmbH übt Edeltraud nach den Weisungen Ursulas aus. Ohne Weisung darf sie nur unaufschiebbare Maßnahmen zur Erhaltung des Vermögens treffen; sie hat Ursula unverzüglich zu unterrichten.</w:t>
      </w:r>
    </w:p>
    <w:p>
      <w:r>
        <w:t>Der Vertrag kann bei schwerwiegendem Pflichtverstoß außerordentlich beendet werden. Eine bloße Neubesetzung des Beirats beendet weder die Treuhand noch die Weisungsrechte. Für eine geordnete Übertragung auf eine Nachfolgerin sind gesonderte Vollzugsschritte erforderlich.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Vertrag über die Vermögensverwaltung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