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Anlagen- und Belegverzeichnis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Mainbogen Laborsoftware GmbH – Stand 30. 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17365D"/>
          </w:tcPr>
          <w:p>
            <w:r>
              <w:rPr>
                <w:b/>
                <w:color w:val="FFFFFF"/>
              </w:rPr>
              <w:t>Anlage</w:t>
            </w:r>
          </w:p>
        </w:tc>
        <w:tc>
          <w:tcPr>
            <w:tcW w:type="dxa" w:w="3230"/>
            <w:shd w:fill="17365D"/>
          </w:tcPr>
          <w:p>
            <w:r>
              <w:rPr>
                <w:b/>
                <w:color w:val="FFFFFF"/>
              </w:rPr>
              <w:t>Inhalt</w:t>
            </w:r>
          </w:p>
        </w:tc>
        <w:tc>
          <w:tcPr>
            <w:tcW w:type="dxa" w:w="3230"/>
            <w:shd w:fill="17365D"/>
          </w:tcPr>
          <w:p>
            <w:r>
              <w:rPr>
                <w:b/>
                <w:color w:val="FFFFFF"/>
              </w:rPr>
              <w:t>Aktenbezug</w:t>
            </w:r>
          </w:p>
        </w:tc>
      </w:tr>
      <w:tr>
        <w:tc>
          <w:tcPr>
            <w:tcW w:type="dxa" w:w="3230"/>
          </w:tcPr>
          <w:p>
            <w:r>
              <w:t>S 1</w:t>
            </w:r>
          </w:p>
        </w:tc>
        <w:tc>
          <w:tcPr>
            <w:tcW w:type="dxa" w:w="3230"/>
          </w:tcPr>
          <w:p>
            <w:r>
              <w:t>Verfahrenskonto und Kontenabgleich</w:t>
            </w:r>
          </w:p>
        </w:tc>
        <w:tc>
          <w:tcPr>
            <w:tcW w:type="dxa" w:w="3230"/>
          </w:tcPr>
          <w:p>
            <w:r>
              <w:t>09, 10 und Bankbestätigung</w:t>
            </w:r>
          </w:p>
        </w:tc>
      </w:tr>
      <w:tr>
        <w:tc>
          <w:tcPr>
            <w:tcW w:type="dxa" w:w="3230"/>
          </w:tcPr>
          <w:p>
            <w:r>
              <w:t>S 2</w:t>
            </w:r>
          </w:p>
        </w:tc>
        <w:tc>
          <w:tcPr>
            <w:tcW w:type="dxa" w:w="3230"/>
          </w:tcPr>
          <w:p>
            <w:r>
              <w:t>Schlussrechnung</w:t>
            </w:r>
          </w:p>
        </w:tc>
        <w:tc>
          <w:tcPr>
            <w:tcW w:type="dxa" w:w="3230"/>
          </w:tcPr>
          <w:p>
            <w:r>
              <w:t>09 – Tabellenblätter Einnahmen, Ausgaben, Abstimmung</w:t>
            </w:r>
          </w:p>
        </w:tc>
      </w:tr>
      <w:tr>
        <w:tc>
          <w:tcPr>
            <w:tcW w:type="dxa" w:w="3230"/>
          </w:tcPr>
          <w:p>
            <w:r>
              <w:t>S 3</w:t>
            </w:r>
          </w:p>
        </w:tc>
        <w:tc>
          <w:tcPr>
            <w:tcW w:type="dxa" w:w="3230"/>
          </w:tcPr>
          <w:p>
            <w:r>
              <w:t>Forderungs- und Schlussverzeichnis</w:t>
            </w:r>
          </w:p>
        </w:tc>
        <w:tc>
          <w:tcPr>
            <w:tcW w:type="dxa" w:w="3230"/>
          </w:tcPr>
          <w:p>
            <w:r>
              <w:t>11 und 12</w:t>
            </w:r>
          </w:p>
        </w:tc>
      </w:tr>
      <w:tr>
        <w:tc>
          <w:tcPr>
            <w:tcW w:type="dxa" w:w="3230"/>
          </w:tcPr>
          <w:p>
            <w:r>
              <w:t>S 4</w:t>
            </w:r>
          </w:p>
        </w:tc>
        <w:tc>
          <w:tcPr>
            <w:tcW w:type="dxa" w:w="3230"/>
          </w:tcPr>
          <w:p>
            <w:r>
              <w:t>Quotenberechnung</w:t>
            </w:r>
          </w:p>
        </w:tc>
        <w:tc>
          <w:tcPr>
            <w:tcW w:type="dxa" w:w="3230"/>
          </w:tcPr>
          <w:p>
            <w:r>
              <w:t>13</w:t>
            </w:r>
          </w:p>
        </w:tc>
      </w:tr>
      <w:tr>
        <w:tc>
          <w:tcPr>
            <w:tcW w:type="dxa" w:w="3230"/>
          </w:tcPr>
          <w:p>
            <w:r>
              <w:t>S 5</w:t>
            </w:r>
          </w:p>
        </w:tc>
        <w:tc>
          <w:tcPr>
            <w:tcW w:type="dxa" w:w="3230"/>
          </w:tcPr>
          <w:p>
            <w:r>
              <w:t>Belegmatrix</w:t>
            </w:r>
          </w:p>
        </w:tc>
        <w:tc>
          <w:tcPr>
            <w:tcW w:type="dxa" w:w="3230"/>
          </w:tcPr>
          <w:p>
            <w:r>
              <w:t>14</w:t>
            </w:r>
          </w:p>
        </w:tc>
      </w:tr>
      <w:tr>
        <w:tc>
          <w:tcPr>
            <w:tcW w:type="dxa" w:w="3230"/>
          </w:tcPr>
          <w:p>
            <w:r>
              <w:t>S 6</w:t>
            </w:r>
          </w:p>
        </w:tc>
        <w:tc>
          <w:tcPr>
            <w:tcW w:type="dxa" w:w="3230"/>
          </w:tcPr>
          <w:p>
            <w:r>
              <w:t>Asset Deal</w:t>
            </w:r>
          </w:p>
        </w:tc>
        <w:tc>
          <w:tcPr>
            <w:tcW w:type="dxa" w:w="3230"/>
          </w:tcPr>
          <w:p>
            <w:r>
              <w:t>15</w:t>
            </w:r>
          </w:p>
        </w:tc>
      </w:tr>
      <w:tr>
        <w:tc>
          <w:tcPr>
            <w:tcW w:type="dxa" w:w="3230"/>
          </w:tcPr>
          <w:p>
            <w:r>
              <w:t>S 7</w:t>
            </w:r>
          </w:p>
        </w:tc>
        <w:tc>
          <w:tcPr>
            <w:tcW w:type="dxa" w:w="3230"/>
          </w:tcPr>
          <w:p>
            <w:r>
              <w:t>Anfechtungs- und Organhaftungsvergleiche</w:t>
            </w:r>
          </w:p>
        </w:tc>
        <w:tc>
          <w:tcPr>
            <w:tcW w:type="dxa" w:w="3230"/>
          </w:tcPr>
          <w:p>
            <w:r>
              <w:t>16 und 17</w:t>
            </w:r>
          </w:p>
        </w:tc>
      </w:tr>
      <w:tr>
        <w:tc>
          <w:tcPr>
            <w:tcW w:type="dxa" w:w="3230"/>
          </w:tcPr>
          <w:p>
            <w:r>
              <w:t>S 8</w:t>
            </w:r>
          </w:p>
        </w:tc>
        <w:tc>
          <w:tcPr>
            <w:tcW w:type="dxa" w:w="3230"/>
          </w:tcPr>
          <w:p>
            <w:r>
              <w:t>Steuererstattung</w:t>
            </w:r>
          </w:p>
        </w:tc>
        <w:tc>
          <w:tcPr>
            <w:tcW w:type="dxa" w:w="3230"/>
          </w:tcPr>
          <w:p>
            <w:r>
              <w:t>18</w:t>
            </w:r>
          </w:p>
        </w:tc>
      </w:tr>
      <w:tr>
        <w:tc>
          <w:tcPr>
            <w:tcW w:type="dxa" w:w="3230"/>
          </w:tcPr>
          <w:p>
            <w:r>
              <w:t>S 9</w:t>
            </w:r>
          </w:p>
        </w:tc>
        <w:tc>
          <w:tcPr>
            <w:tcW w:type="dxa" w:w="3230"/>
          </w:tcPr>
          <w:p>
            <w:r>
              <w:t>Stellungnahme Gläubigerausschuss</w:t>
            </w:r>
          </w:p>
        </w:tc>
        <w:tc>
          <w:tcPr>
            <w:tcW w:type="dxa" w:w="3230"/>
          </w:tcPr>
          <w:p>
            <w:r>
              <w:t>19</w:t>
            </w:r>
          </w:p>
        </w:tc>
      </w:tr>
      <w:tr>
        <w:tc>
          <w:tcPr>
            <w:tcW w:type="dxa" w:w="3230"/>
          </w:tcPr>
          <w:p>
            <w:r>
              <w:t>S 10</w:t>
            </w:r>
          </w:p>
        </w:tc>
        <w:tc>
          <w:tcPr>
            <w:tcW w:type="dxa" w:w="3230"/>
          </w:tcPr>
          <w:p>
            <w:r>
              <w:t>Vergütungs- und Schlusskostenansatz</w:t>
            </w:r>
          </w:p>
        </w:tc>
        <w:tc>
          <w:tcPr>
            <w:tcW w:type="dxa" w:w="3230"/>
          </w:tcPr>
          <w:p>
            <w:r>
              <w:t>20</w:t>
            </w:r>
          </w:p>
        </w:tc>
      </w:tr>
    </w:tbl>
    <w:p>
      <w:r>
        <w:t>Freigaberegel: Eine Anlage gilt erst als berichtsfähig, wenn Zeitraum, Quelle, Prüfer, Rechenbezug und führende Dateifassung dokumentiert sind.</w:t>
      </w:r>
    </w:p>
    <w:sectPr w:rsidR="00FC693F" w:rsidRPr="0006063C" w:rsidSect="00034616">
      <w:footerReference w:type="default" r:id="rId9"/>
      <w:pgSz w:w="12240" w:h="15840"/>
      <w:pgMar w:top="1191" w:right="1247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Testakte insolvenzverwaltung-mainbogen-laborsoftware-wuerzburg | fiktiv |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