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Schlussbericht – Referenzfassung</w:t>
      </w:r>
    </w:p>
    <w:p>
      <w:pPr>
        <w:jc w:val="center"/>
      </w:pPr>
      <w:r>
        <w:rPr>
          <w:rFonts w:ascii="Times New Roman" w:hAnsi="Times New Roman"/>
          <w:b/>
          <w:sz w:val="24"/>
        </w:rPr>
        <w:t>Mainbogen Laborsoftware GmbH – 15 IN 287/18 – 30. September 2026</w:t>
      </w:r>
    </w:p>
    <w:p>
      <w:r>
        <w:rPr>
          <w:b/>
          <w:color w:val="C00000"/>
        </w:rPr>
        <w:t>REFERENZFASSUNG: Inhaltlich ausformuliertes Muster, nicht zur Einreichung. Namentliche Freigabe, gerichtliche Zustimmung und Auszahlungsvollzug sind offen.</w:t>
      </w:r>
    </w:p>
    <w:p>
      <w:pPr>
        <w:pStyle w:val="Heading1"/>
      </w:pPr>
      <w:r>
        <w:t>1. Vorbemerkung und Berichtsgrundlage</w:t>
      </w:r>
    </w:p>
    <w:p>
      <w:r>
        <w:t>Das Verfahren ist nach achtjähriger Bearbeitung für die Schlussrechnungsprüfung und die Entscheidung über die Zustimmung zur Schlussverteilung aufbereitet. Ergänzend wird auf den Erstbericht und die vier in der Akte enthaltenen Zwischenberichte verwiesen. Der vorliegende Bericht fasst die Entwicklung zusammen und stellt die Übereinstimmung von Sachbericht, Schlussrechnung, Kontenbestand, Schlussverzeichnis und Quotenberechnung her.</w:t>
      </w:r>
    </w:p>
    <w:p>
      <w:r>
        <w:t>Der Bericht ist eine ausformulierte fachliche Referenz für die Aktenbearbeitung. Er dokumentiert weder eine namentliche Freigabe zur Einreichung noch eine gerichtliche Zustimmung oder den Vollzug der Schlussverteilung. Diese Verfahrensschritte bleiben offen und dürfen erst nach einem belegten Gate-Abgleich in eine Einreichungs- oder Vollzugsfassung übernommen werden.</w:t>
      </w:r>
    </w:p>
    <w:p>
      <w:pPr>
        <w:pStyle w:val="Heading1"/>
      </w:pPr>
      <w:r>
        <w:t>2. Verfahrensdaten</w:t>
      </w:r>
    </w:p>
    <w:p>
      <w:r>
        <w:t>Auf den Gläubigerantrag vom 17. Juli 2018 und den Eigenantrag vom 7. August 2018 ordnete das Insolvenzgericht am 20. Juli 2018 Sicherungsmaßnahmen an. Das Verfahren wurde am 1. Oktober 2018 eröffnet; zur Insolvenzverwalterin wurde Rechtsanwältin Dr. Kunigunde Haberkorn bestellt.</w:t>
      </w:r>
    </w:p>
    <w:p>
      <w:r>
        <w:t>Die Schuldnerin entwickelte und betreute Laborinformationssoftware. Der Umsatzrückgang beruhte vor allem auf dem Ausfall zweier Großkunden, verzögerten Schnittstellenprojekten und hohen Vorleistungen für eine nicht marktreife Geräteserie. Hinzu kamen rückständige Sozialversicherungsbeiträge und eine gekündigte Betriebsmittellinie.</w:t>
      </w:r>
    </w:p>
    <w:p>
      <w:pPr>
        <w:pStyle w:val="Heading1"/>
      </w:pPr>
      <w:r>
        <w:t>3. Vorläufiges Verfahren</w:t>
      </w:r>
    </w:p>
    <w:p>
      <w:r>
        <w:t>Der Geschäftsbetrieb wurde unter Zustimmungsvorbehalt stabilisiert. Die Verwalterin richtete ein Anderkonto ein, führte einen täglichen Liquiditätsstatus ein und trennte Altverbindlichkeiten von neu begründeten Masseverbindlichkeiten. Eine Insolvenzgeldvorfinanzierung sicherte die Entgeltzahlung für 19 Beschäftigte.</w:t>
      </w:r>
    </w:p>
    <w:p>
      <w:r>
        <w:t>Offene Kundenprojekte wurden nur fortgeführt, wenn die erwarteten Zahlungseingänge die projektbezogenen Ausgaben deckten und Abnahme sowie Nutzungsrechte dokumentiert waren. Bis zur Eröffnung wurden liquide Mittel von 118.450,00 EUR gesichert.</w:t>
      </w:r>
    </w:p>
    <w:p>
      <w:pPr>
        <w:pStyle w:val="Heading1"/>
      </w:pPr>
      <w:r>
        <w:t>4. Betriebsfortführung und Übertragung</w:t>
      </w:r>
    </w:p>
    <w:p>
      <w:r>
        <w:t>Nach Eröffnung wurde der Betrieb bis zum 30. Juni 2019 fortgeführt. Die monatliche Planung wurde mit den Bankbewegungen und der Finanzbuchhaltung abgeglichen. Die Fortführung erzielte Erlöse von 1.109.600,00 EUR; die hierauf entfallenden Personal-, Lieferanten-, Miet-, Steuer- und Dienstleistungsausgaben sind in der Schlussrechnung getrennt ausgewiesen.</w:t>
      </w:r>
    </w:p>
    <w:p>
      <w:r>
        <w:t>Mit Wirkung zum 1. Juli 2019 wurden Softwarebestand, Kundenverträge, Gerätebestand und ausgewählte Arbeitsverhältnisse im Wege eines Asset Deals auf die Rebenlab Digital GmbH übertragen. Der Barkaufpreis von 286.000,00 EUR wurde vollständig vereinnahmt. Nicht übertragene Altforderungen und streitige Ansprüche verblieben bei der Masse.</w:t>
      </w:r>
    </w:p>
    <w:p>
      <w:pPr>
        <w:pStyle w:val="Heading1"/>
      </w:pPr>
      <w:r>
        <w:t>5. Verwertung der Massegegenstände</w:t>
      </w:r>
    </w:p>
    <w:p>
      <w:r>
        <w:t>Das Inventar wurde anhand der Eröffnungsbilanz und des Masseverzeichnisses positionsbezogen abgearbeitet. Vorinsolvenzliche Forderungen erbrachten 356.200,00 EUR. Kautionen und sonstige Erstattungen führten zu weiteren 21.500,00 EUR. Die Bewertung und Verwertung sind in der Belegmatrix mit Vertrag, Zahlung und Buchungssatz verknüpft.</w:t>
      </w:r>
    </w:p>
    <w:p>
      <w:r>
        <w:t>Nicht verwertbare Altgeräte wurden nach dokumentierter Marktansprache und Löschprotokoll entsorgt. Für immaterielle Vermögenswerte wurden Lizenzketten und Arbeitnehmerurheberrechte vor Übertragung geprüft.</w:t>
      </w:r>
    </w:p>
    <w:p>
      <w:pPr>
        <w:pStyle w:val="Heading1"/>
      </w:pPr>
      <w:r>
        <w:t>6. Insolvenzspezifische Ansprüche und Prozesse</w:t>
      </w:r>
    </w:p>
    <w:p>
      <w:r>
        <w:t>Zwei Anfechtungsansprüche wurden nach Gegenprüfung von Leistung, Zahlung und Gegenrechten für insgesamt 94.500,00 EUR verglichen. Ein Organhaftungskomplex endete unter Einbeziehung der D&amp;O-Versicherung mit einer Massezahlung von 120.000,00 EUR. Die Vergleichsbeträge sind vollständig eingegangen.</w:t>
      </w:r>
    </w:p>
    <w:p>
      <w:r>
        <w:t>Die Masse führte keine weiteren Aktivprozesse. Die Rechtsverfolgung wurde beendet, nachdem Kostenrisiko, Vollstreckbarkeit und Beweisstand dokumentiert bewertet worden waren. Aus dem Abschluss folgt keine Aussage zu nicht untersuchten Ansprüchen.</w:t>
      </w:r>
    </w:p>
    <w:p>
      <w:pPr>
        <w:pStyle w:val="Heading1"/>
      </w:pPr>
      <w:r>
        <w:t>7. Steuern, Buchführung und Archiv</w:t>
      </w:r>
    </w:p>
    <w:p>
      <w:r>
        <w:t>Die Handels- und Steuerbuchhaltung wurde bis zum Abschlussstichtag fortgeführt. Umsatzsteuerliche Berichtigungen aus Forderungsausfällen und der Abschluss einer Betriebsprüfung führten zu Erstattungen von 58.400,00 EUR. Bescheide, Zahlungseingänge und Buchungen sind in der Belegmatrix verbunden.</w:t>
      </w:r>
    </w:p>
    <w:p>
      <w:r>
        <w:t>Geschäftsunterlagen werden nach dem dokumentierten Archivplan verwahrt. Personenbezogene Daten und technische Zugangsdaten wurden bei der Übertragung getrennt behandelt.</w:t>
      </w:r>
    </w:p>
    <w:p>
      <w:pPr>
        <w:pStyle w:val="Heading1"/>
      </w:pPr>
      <w:r>
        <w:t>8. Einnahmen und Ausgaben</w:t>
      </w:r>
    </w:p>
    <w:p>
      <w:r>
        <w:t>Die nachstehenden Summen entsprechen dem Tabellenblatt Abstimmung der Schlussrechnung. Jeder Betrag lässt sich vom Verfahrenskonto über die Buchungskategorie zum Beleg zurückverfolgen.</w:t>
      </w:r>
    </w:p>
    <w:tbl>
      <w:tblPr>
        <w:tblStyle w:val="TableGrid"/>
        <w:tblW w:type="auto" w:w="0"/>
        <w:jc w:val="center"/>
        <w:tblLook w:firstColumn="1" w:firstRow="1" w:lastColumn="0" w:lastRow="0" w:noHBand="0" w:noVBand="1" w:val="04A0"/>
      </w:tblPr>
      <w:tblGrid>
        <w:gridCol w:w="4844"/>
        <w:gridCol w:w="4844"/>
      </w:tblGrid>
      <w:tr>
        <w:tc>
          <w:tcPr>
            <w:tcW w:type="dxa" w:w="4844"/>
            <w:shd w:fill="17365D"/>
          </w:tcPr>
          <w:p>
            <w:r>
              <w:rPr>
                <w:b/>
                <w:color w:val="FFFFFF"/>
              </w:rPr>
              <w:t>Position</w:t>
            </w:r>
          </w:p>
        </w:tc>
        <w:tc>
          <w:tcPr>
            <w:tcW w:type="dxa" w:w="4844"/>
            <w:shd w:fill="17365D"/>
          </w:tcPr>
          <w:p>
            <w:r>
              <w:rPr>
                <w:b/>
                <w:color w:val="FFFFFF"/>
              </w:rPr>
              <w:t>Betrag</w:t>
            </w:r>
          </w:p>
        </w:tc>
      </w:tr>
      <w:tr>
        <w:tc>
          <w:tcPr>
            <w:tcW w:type="dxa" w:w="4844"/>
          </w:tcPr>
          <w:p>
            <w:r>
              <w:t>Übernommene liquide Mittel und vorläufiges Verfahren</w:t>
            </w:r>
          </w:p>
        </w:tc>
        <w:tc>
          <w:tcPr>
            <w:tcW w:type="dxa" w:w="4844"/>
          </w:tcPr>
          <w:p>
            <w:pPr>
              <w:jc w:val="right"/>
            </w:pPr>
            <w:r>
              <w:t>118.450,00 EUR</w:t>
            </w:r>
          </w:p>
        </w:tc>
      </w:tr>
      <w:tr>
        <w:tc>
          <w:tcPr>
            <w:tcW w:type="dxa" w:w="4844"/>
          </w:tcPr>
          <w:p>
            <w:r>
              <w:t>Einzug vorinsolvenzlicher Forderungen</w:t>
            </w:r>
          </w:p>
        </w:tc>
        <w:tc>
          <w:tcPr>
            <w:tcW w:type="dxa" w:w="4844"/>
          </w:tcPr>
          <w:p>
            <w:pPr>
              <w:jc w:val="right"/>
            </w:pPr>
            <w:r>
              <w:t>356.200,00 EUR</w:t>
            </w:r>
          </w:p>
        </w:tc>
      </w:tr>
      <w:tr>
        <w:tc>
          <w:tcPr>
            <w:tcW w:type="dxa" w:w="4844"/>
          </w:tcPr>
          <w:p>
            <w:r>
              <w:t>Erlöse aus Betriebsfortführung</w:t>
            </w:r>
          </w:p>
        </w:tc>
        <w:tc>
          <w:tcPr>
            <w:tcW w:type="dxa" w:w="4844"/>
          </w:tcPr>
          <w:p>
            <w:pPr>
              <w:jc w:val="right"/>
            </w:pPr>
            <w:r>
              <w:t>1.109.600,00 EUR</w:t>
            </w:r>
          </w:p>
        </w:tc>
      </w:tr>
      <w:tr>
        <w:tc>
          <w:tcPr>
            <w:tcW w:type="dxa" w:w="4844"/>
          </w:tcPr>
          <w:p>
            <w:r>
              <w:t>Kaufpreis Asset Deal</w:t>
            </w:r>
          </w:p>
        </w:tc>
        <w:tc>
          <w:tcPr>
            <w:tcW w:type="dxa" w:w="4844"/>
          </w:tcPr>
          <w:p>
            <w:pPr>
              <w:jc w:val="right"/>
            </w:pPr>
            <w:r>
              <w:t>286.000,00 EUR</w:t>
            </w:r>
          </w:p>
        </w:tc>
      </w:tr>
      <w:tr>
        <w:tc>
          <w:tcPr>
            <w:tcW w:type="dxa" w:w="4844"/>
          </w:tcPr>
          <w:p>
            <w:r>
              <w:t>Anfechtungsvergleiche</w:t>
            </w:r>
          </w:p>
        </w:tc>
        <w:tc>
          <w:tcPr>
            <w:tcW w:type="dxa" w:w="4844"/>
          </w:tcPr>
          <w:p>
            <w:pPr>
              <w:jc w:val="right"/>
            </w:pPr>
            <w:r>
              <w:t>94.500,00 EUR</w:t>
            </w:r>
          </w:p>
        </w:tc>
      </w:tr>
      <w:tr>
        <w:tc>
          <w:tcPr>
            <w:tcW w:type="dxa" w:w="4844"/>
          </w:tcPr>
          <w:p>
            <w:r>
              <w:t>D&amp;O- und Organhaftungsvergleich</w:t>
            </w:r>
          </w:p>
        </w:tc>
        <w:tc>
          <w:tcPr>
            <w:tcW w:type="dxa" w:w="4844"/>
          </w:tcPr>
          <w:p>
            <w:pPr>
              <w:jc w:val="right"/>
            </w:pPr>
            <w:r>
              <w:t>120.000,00 EUR</w:t>
            </w:r>
          </w:p>
        </w:tc>
      </w:tr>
      <w:tr>
        <w:tc>
          <w:tcPr>
            <w:tcW w:type="dxa" w:w="4844"/>
          </w:tcPr>
          <w:p>
            <w:r>
              <w:t>Steuererstattungen</w:t>
            </w:r>
          </w:p>
        </w:tc>
        <w:tc>
          <w:tcPr>
            <w:tcW w:type="dxa" w:w="4844"/>
          </w:tcPr>
          <w:p>
            <w:pPr>
              <w:jc w:val="right"/>
            </w:pPr>
            <w:r>
              <w:t>58.400,00 EUR</w:t>
            </w:r>
          </w:p>
        </w:tc>
      </w:tr>
      <w:tr>
        <w:tc>
          <w:tcPr>
            <w:tcW w:type="dxa" w:w="4844"/>
          </w:tcPr>
          <w:p>
            <w:r>
              <w:t>Kautionen und sonstige Erstattungen</w:t>
            </w:r>
          </w:p>
        </w:tc>
        <w:tc>
          <w:tcPr>
            <w:tcW w:type="dxa" w:w="4844"/>
          </w:tcPr>
          <w:p>
            <w:pPr>
              <w:jc w:val="right"/>
            </w:pPr>
            <w:r>
              <w:t>21.500,00 EUR</w:t>
            </w:r>
          </w:p>
        </w:tc>
      </w:tr>
      <w:tr>
        <w:tc>
          <w:tcPr>
            <w:tcW w:type="dxa" w:w="4844"/>
          </w:tcPr>
          <w:p>
            <w:r>
              <w:t>Zinsen</w:t>
            </w:r>
          </w:p>
        </w:tc>
        <w:tc>
          <w:tcPr>
            <w:tcW w:type="dxa" w:w="4844"/>
          </w:tcPr>
          <w:p>
            <w:pPr>
              <w:jc w:val="right"/>
            </w:pPr>
            <w:r>
              <w:t>20.000,00 EUR</w:t>
            </w:r>
          </w:p>
        </w:tc>
      </w:tr>
      <w:tr>
        <w:tc>
          <w:tcPr>
            <w:tcW w:type="dxa" w:w="4844"/>
            <w:shd w:fill="D9EAF7"/>
          </w:tcPr>
          <w:p>
            <w:r>
              <w:rPr>
                <w:b/>
              </w:rPr>
              <w:t>Summe Einnahmen</w:t>
            </w:r>
          </w:p>
        </w:tc>
        <w:tc>
          <w:tcPr>
            <w:tcW w:type="dxa" w:w="4844"/>
            <w:shd w:fill="D9EAF7"/>
          </w:tcPr>
          <w:p>
            <w:r>
              <w:rPr>
                <w:b/>
              </w:rPr>
              <w:t>2.184.650,00 EUR</w:t>
            </w:r>
          </w:p>
        </w:tc>
      </w:tr>
    </w:tbl>
    <w:p/>
    <w:tbl>
      <w:tblPr>
        <w:tblStyle w:val="TableGrid"/>
        <w:tblW w:type="auto" w:w="0"/>
        <w:jc w:val="center"/>
        <w:tblLook w:firstColumn="1" w:firstRow="1" w:lastColumn="0" w:lastRow="0" w:noHBand="0" w:noVBand="1" w:val="04A0"/>
      </w:tblPr>
      <w:tblGrid>
        <w:gridCol w:w="4844"/>
        <w:gridCol w:w="4844"/>
      </w:tblGrid>
      <w:tr>
        <w:tc>
          <w:tcPr>
            <w:tcW w:type="dxa" w:w="4844"/>
            <w:shd w:fill="17365D"/>
          </w:tcPr>
          <w:p>
            <w:r>
              <w:rPr>
                <w:b/>
                <w:color w:val="FFFFFF"/>
              </w:rPr>
              <w:t>Position</w:t>
            </w:r>
          </w:p>
        </w:tc>
        <w:tc>
          <w:tcPr>
            <w:tcW w:type="dxa" w:w="4844"/>
            <w:shd w:fill="17365D"/>
          </w:tcPr>
          <w:p>
            <w:r>
              <w:rPr>
                <w:b/>
                <w:color w:val="FFFFFF"/>
              </w:rPr>
              <w:t>Betrag</w:t>
            </w:r>
          </w:p>
        </w:tc>
      </w:tr>
      <w:tr>
        <w:tc>
          <w:tcPr>
            <w:tcW w:type="dxa" w:w="4844"/>
          </w:tcPr>
          <w:p>
            <w:r>
              <w:t>Lieferanten und Fremdleistungen der Fortführung</w:t>
            </w:r>
          </w:p>
        </w:tc>
        <w:tc>
          <w:tcPr>
            <w:tcW w:type="dxa" w:w="4844"/>
          </w:tcPr>
          <w:p>
            <w:pPr>
              <w:jc w:val="right"/>
            </w:pPr>
            <w:r>
              <w:t>602.480,30 EUR</w:t>
            </w:r>
          </w:p>
        </w:tc>
      </w:tr>
      <w:tr>
        <w:tc>
          <w:tcPr>
            <w:tcW w:type="dxa" w:w="4844"/>
          </w:tcPr>
          <w:p>
            <w:r>
              <w:t>Löhne und Gehälter</w:t>
            </w:r>
          </w:p>
        </w:tc>
        <w:tc>
          <w:tcPr>
            <w:tcW w:type="dxa" w:w="4844"/>
          </w:tcPr>
          <w:p>
            <w:pPr>
              <w:jc w:val="right"/>
            </w:pPr>
            <w:r>
              <w:t>354.680,00 EUR</w:t>
            </w:r>
          </w:p>
        </w:tc>
      </w:tr>
      <w:tr>
        <w:tc>
          <w:tcPr>
            <w:tcW w:type="dxa" w:w="4844"/>
          </w:tcPr>
          <w:p>
            <w:r>
              <w:t>Sozialversicherungsbeiträge</w:t>
            </w:r>
          </w:p>
        </w:tc>
        <w:tc>
          <w:tcPr>
            <w:tcW w:type="dxa" w:w="4844"/>
          </w:tcPr>
          <w:p>
            <w:pPr>
              <w:jc w:val="right"/>
            </w:pPr>
            <w:r>
              <w:t>141.872,45 EUR</w:t>
            </w:r>
          </w:p>
        </w:tc>
      </w:tr>
      <w:tr>
        <w:tc>
          <w:tcPr>
            <w:tcW w:type="dxa" w:w="4844"/>
          </w:tcPr>
          <w:p>
            <w:r>
              <w:t>Steuern der Masse</w:t>
            </w:r>
          </w:p>
        </w:tc>
        <w:tc>
          <w:tcPr>
            <w:tcW w:type="dxa" w:w="4844"/>
          </w:tcPr>
          <w:p>
            <w:pPr>
              <w:jc w:val="right"/>
            </w:pPr>
            <w:r>
              <w:t>184.335,60 EUR</w:t>
            </w:r>
          </w:p>
        </w:tc>
      </w:tr>
      <w:tr>
        <w:tc>
          <w:tcPr>
            <w:tcW w:type="dxa" w:w="4844"/>
          </w:tcPr>
          <w:p>
            <w:r>
              <w:t>Miete, Energie und Betriebskosten</w:t>
            </w:r>
          </w:p>
        </w:tc>
        <w:tc>
          <w:tcPr>
            <w:tcW w:type="dxa" w:w="4844"/>
          </w:tcPr>
          <w:p>
            <w:pPr>
              <w:jc w:val="right"/>
            </w:pPr>
            <w:r>
              <w:t>126.790,20 EUR</w:t>
            </w:r>
          </w:p>
        </w:tc>
      </w:tr>
      <w:tr>
        <w:tc>
          <w:tcPr>
            <w:tcW w:type="dxa" w:w="4844"/>
          </w:tcPr>
          <w:p>
            <w:r>
              <w:t>Buchhaltung, IT und sonstige Dienstleistungen</w:t>
            </w:r>
          </w:p>
        </w:tc>
        <w:tc>
          <w:tcPr>
            <w:tcW w:type="dxa" w:w="4844"/>
          </w:tcPr>
          <w:p>
            <w:pPr>
              <w:jc w:val="right"/>
            </w:pPr>
            <w:r>
              <w:t>96.480,25 EUR</w:t>
            </w:r>
          </w:p>
        </w:tc>
      </w:tr>
      <w:tr>
        <w:tc>
          <w:tcPr>
            <w:tcW w:type="dxa" w:w="4844"/>
          </w:tcPr>
          <w:p>
            <w:r>
              <w:t>Verwertungs- und Archivkosten</w:t>
            </w:r>
          </w:p>
        </w:tc>
        <w:tc>
          <w:tcPr>
            <w:tcW w:type="dxa" w:w="4844"/>
          </w:tcPr>
          <w:p>
            <w:pPr>
              <w:jc w:val="right"/>
            </w:pPr>
            <w:r>
              <w:t>21.890,00 EUR</w:t>
            </w:r>
          </w:p>
        </w:tc>
      </w:tr>
      <w:tr>
        <w:tc>
          <w:tcPr>
            <w:tcW w:type="dxa" w:w="4844"/>
          </w:tcPr>
          <w:p>
            <w:r>
              <w:t>Prozess- und Beratungskosten</w:t>
            </w:r>
          </w:p>
        </w:tc>
        <w:tc>
          <w:tcPr>
            <w:tcW w:type="dxa" w:w="4844"/>
          </w:tcPr>
          <w:p>
            <w:pPr>
              <w:jc w:val="right"/>
            </w:pPr>
            <w:r>
              <w:t>37.320,00 EUR</w:t>
            </w:r>
          </w:p>
        </w:tc>
      </w:tr>
      <w:tr>
        <w:tc>
          <w:tcPr>
            <w:tcW w:type="dxa" w:w="4844"/>
          </w:tcPr>
          <w:p>
            <w:r>
              <w:t>Bank- und Geldverkehrskosten</w:t>
            </w:r>
          </w:p>
        </w:tc>
        <w:tc>
          <w:tcPr>
            <w:tcW w:type="dxa" w:w="4844"/>
          </w:tcPr>
          <w:p>
            <w:pPr>
              <w:jc w:val="right"/>
            </w:pPr>
            <w:r>
              <w:t>4.125,60 EUR</w:t>
            </w:r>
          </w:p>
        </w:tc>
      </w:tr>
      <w:tr>
        <w:tc>
          <w:tcPr>
            <w:tcW w:type="dxa" w:w="4844"/>
          </w:tcPr>
          <w:p>
            <w:r>
              <w:t>Vergütung und Auslagen der vorläufigen Verwalterin</w:t>
            </w:r>
          </w:p>
        </w:tc>
        <w:tc>
          <w:tcPr>
            <w:tcW w:type="dxa" w:w="4844"/>
          </w:tcPr>
          <w:p>
            <w:pPr>
              <w:jc w:val="right"/>
            </w:pPr>
            <w:r>
              <w:t>73.318,00 EUR</w:t>
            </w:r>
          </w:p>
        </w:tc>
      </w:tr>
      <w:tr>
        <w:tc>
          <w:tcPr>
            <w:tcW w:type="dxa" w:w="4844"/>
            <w:shd w:fill="D9EAF7"/>
          </w:tcPr>
          <w:p>
            <w:r>
              <w:rPr>
                <w:b/>
              </w:rPr>
              <w:t>Summe Ausgaben</w:t>
            </w:r>
          </w:p>
        </w:tc>
        <w:tc>
          <w:tcPr>
            <w:tcW w:type="dxa" w:w="4844"/>
            <w:shd w:fill="D9EAF7"/>
          </w:tcPr>
          <w:p>
            <w:r>
              <w:rPr>
                <w:b/>
              </w:rPr>
              <w:t>1.643.292,40 EUR</w:t>
            </w:r>
          </w:p>
        </w:tc>
      </w:tr>
    </w:tbl>
    <w:p>
      <w:r>
        <w:t>Kontenbestand: 541.357,60 EUR</w:t>
      </w:r>
    </w:p>
    <w:p>
      <w:pPr>
        <w:pStyle w:val="Heading1"/>
      </w:pPr>
      <w:r>
        <w:t>9. Kosten und sonstige Masseverbindlichkeiten</w:t>
      </w:r>
    </w:p>
    <w:p>
      <w:r>
        <w:t>Aus dem Kontenbestand werden Gerichtskosten, die beantragte Vergütung einschließlich Auslagen und Umsatzsteuer sowie die dokumentierten Schlussabwicklungskosten zurückgestellt. Nicht bezifferte Pauschalreserven wurden nicht gebildet.</w:t>
      </w:r>
    </w:p>
    <w:p>
      <w:r>
        <w:t>Sollte die Vergütung abweichend festgesetzt werden oder ein zurückgestellter Betrag nicht benötigt werden, ist die Quotenberechnung vor Auszahlung neu zu erzeugen und freizugeben.</w:t>
      </w:r>
    </w:p>
    <w:tbl>
      <w:tblPr>
        <w:tblStyle w:val="TableGrid"/>
        <w:tblW w:type="auto" w:w="0"/>
        <w:jc w:val="center"/>
        <w:tblLook w:firstColumn="1" w:firstRow="1" w:lastColumn="0" w:lastRow="0" w:noHBand="0" w:noVBand="1" w:val="04A0"/>
      </w:tblPr>
      <w:tblGrid>
        <w:gridCol w:w="4844"/>
        <w:gridCol w:w="4844"/>
      </w:tblGrid>
      <w:tr>
        <w:tc>
          <w:tcPr>
            <w:tcW w:type="dxa" w:w="4844"/>
            <w:shd w:fill="17365D"/>
          </w:tcPr>
          <w:p>
            <w:r>
              <w:rPr>
                <w:b/>
                <w:color w:val="FFFFFF"/>
              </w:rPr>
              <w:t>Position</w:t>
            </w:r>
          </w:p>
        </w:tc>
        <w:tc>
          <w:tcPr>
            <w:tcW w:type="dxa" w:w="4844"/>
            <w:shd w:fill="17365D"/>
          </w:tcPr>
          <w:p>
            <w:r>
              <w:rPr>
                <w:b/>
                <w:color w:val="FFFFFF"/>
              </w:rPr>
              <w:t>Betrag</w:t>
            </w:r>
          </w:p>
        </w:tc>
      </w:tr>
      <w:tr>
        <w:tc>
          <w:tcPr>
            <w:tcW w:type="dxa" w:w="4844"/>
          </w:tcPr>
          <w:p>
            <w:r>
              <w:t>Gerichtskosten</w:t>
            </w:r>
          </w:p>
        </w:tc>
        <w:tc>
          <w:tcPr>
            <w:tcW w:type="dxa" w:w="4844"/>
          </w:tcPr>
          <w:p>
            <w:pPr>
              <w:jc w:val="right"/>
            </w:pPr>
            <w:r>
              <w:t>13.850,00 EUR</w:t>
            </w:r>
          </w:p>
        </w:tc>
      </w:tr>
      <w:tr>
        <w:tc>
          <w:tcPr>
            <w:tcW w:type="dxa" w:w="4844"/>
          </w:tcPr>
          <w:p>
            <w:r>
              <w:t>beantragte Vergütung und Auslagen der Insolvenzverwalterin einschließlich Umsatzsteuer</w:t>
            </w:r>
          </w:p>
        </w:tc>
        <w:tc>
          <w:tcPr>
            <w:tcW w:type="dxa" w:w="4844"/>
          </w:tcPr>
          <w:p>
            <w:pPr>
              <w:jc w:val="right"/>
            </w:pPr>
            <w:r>
              <w:t>96.577,60 EUR</w:t>
            </w:r>
          </w:p>
        </w:tc>
      </w:tr>
      <w:tr>
        <w:tc>
          <w:tcPr>
            <w:tcW w:type="dxa" w:w="4844"/>
          </w:tcPr>
          <w:p>
            <w:r>
              <w:t>Schlussabwicklung, Archivierung und Kontoführung</w:t>
            </w:r>
          </w:p>
        </w:tc>
        <w:tc>
          <w:tcPr>
            <w:tcW w:type="dxa" w:w="4844"/>
          </w:tcPr>
          <w:p>
            <w:pPr>
              <w:jc w:val="right"/>
            </w:pPr>
            <w:r>
              <w:t>5.500,00 EUR</w:t>
            </w:r>
          </w:p>
        </w:tc>
      </w:tr>
      <w:tr>
        <w:tc>
          <w:tcPr>
            <w:tcW w:type="dxa" w:w="4844"/>
            <w:shd w:fill="D9EAF7"/>
          </w:tcPr>
          <w:p>
            <w:r>
              <w:rPr>
                <w:b/>
              </w:rPr>
              <w:t>Summe Rückstellungen und Abschlusskosten</w:t>
            </w:r>
          </w:p>
        </w:tc>
        <w:tc>
          <w:tcPr>
            <w:tcW w:type="dxa" w:w="4844"/>
            <w:shd w:fill="D9EAF7"/>
          </w:tcPr>
          <w:p>
            <w:r>
              <w:rPr>
                <w:b/>
              </w:rPr>
              <w:t>115.927,60 EUR</w:t>
            </w:r>
          </w:p>
        </w:tc>
      </w:tr>
    </w:tbl>
    <w:p>
      <w:pPr>
        <w:pStyle w:val="Heading1"/>
      </w:pPr>
      <w:r>
        <w:t>10. Insolvenzforderungen und Schlussverzeichnis</w:t>
      </w:r>
    </w:p>
    <w:p>
      <w:r>
        <w:t>Für die Schlussverteilung werden festgestellte Forderungen im Rang des § 38 InsO von insgesamt 1.685.971,56 EUR berücksichtigt. Bestrittene Forderungen und Absonderungsausfälle wurden nach ihrem dokumentierten Verfahrensstand beurteilt. Die Ausschluss- und Nachweisfragen werden nicht allein aus der Forderungstabelle, sondern zusammen mit Bekanntmachung, Nachweis und gerichtlichem Status geprüft.</w:t>
      </w:r>
    </w:p>
    <w:p>
      <w:r>
        <w:t>Nachrangige Forderungen nehmen mangels Vollbefriedigung der Forderungen nach § 38 InsO nicht an der Schlussverteilung teil.</w:t>
      </w:r>
    </w:p>
    <w:p>
      <w:pPr>
        <w:pStyle w:val="Heading1"/>
      </w:pPr>
      <w:r>
        <w:t>11. Ergebnis und beantragte weitere Verfahrensschritte</w:t>
      </w:r>
    </w:p>
    <w:p>
      <w:r>
        <w:t>Nach Abzug der noch zu deckenden Kosten stehen 425.430,00 EUR zur Schlussverteilung zur Verfügung. Bezogen auf festgestellte Forderungen von 1.685.971,56 EUR ergibt sich eine rechnerische Quote von 25,2335 Prozent. Einzelbeträge werden centgenau nach dem freigegebenen Schlussverzeichnis berechnet; Rundungsreste verbleiben bis zur Abschlussbuchung auf dem Verfahrenskonto.</w:t>
      </w:r>
    </w:p>
    <w:p>
      <w:r>
        <w:t>Es wird angeregt, die Schlussrechnung zu prüfen, die Zustimmung zur Schlussverteilung zu erteilen und den Schlusstermin zu bestimmen. Nach Vollzug sind Zahlungsnachweise und Restkontenabgleich vorzulegen. Eine spätere Steuererstattung oder ein sonstiger Massenzufluss wäre gesondert auf die Voraussetzungen einer Nachtragsverteilung zu prüfen.</w:t>
      </w:r>
    </w:p>
    <w:p>
      <w:pPr>
        <w:pStyle w:val="Heading1"/>
      </w:pPr>
      <w:r>
        <w:t>12. Anlagen</w:t>
      </w:r>
    </w:p>
    <w:p>
      <w:r>
        <w:t>S 1 Kontenabgleich und Verfahrenskonto; S 2 Schlussrechnung; S 3 Schlussverzeichnis; S 4 Quotenberechnung; S 5 Belegmatrix; S 6 bis S 10 Verträge, Vergleiche, Steuerbeleg, Ausschussstellungnahme und Vergütungsansatz.</w:t>
      </w:r>
    </w:p>
    <w:p>
      <w:r>
        <w:t>Würzburg, 30. September 2026</w:t>
        <w:br/>
        <w:t>[Unterschrifts- und Freigabefeld vor einer Einreichung]</w:t>
        <w:br/>
        <w:t>Rechtsanwältin Dr. Kunigunde Haberkorn</w:t>
        <w:br/>
        <w:t>als Insolvenzverwalterin</w:t>
      </w:r>
    </w:p>
    <w:sectPr w:rsidR="00FC693F" w:rsidRPr="0006063C" w:rsidSect="00034616">
      <w:footerReference w:type="default" r:id="rId9"/>
      <w:pgSz w:w="12240" w:h="15840"/>
      <w:pgMar w:top="1191" w:right="1247"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Testakte insolvenzverwaltung-mainbogen-laborsoftware-wuerzburg | fiktiv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