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Antrag auf Prüfung und Zustimmung zur Schlussverteilung</w:t>
      </w:r>
    </w:p>
    <w:p>
      <w:pPr>
        <w:jc w:val="center"/>
      </w:pPr>
      <w:r>
        <w:rPr>
          <w:rFonts w:ascii="Times New Roman" w:hAnsi="Times New Roman"/>
          <w:b/>
          <w:sz w:val="24"/>
        </w:rPr>
        <w:t>Amtsgericht Würzburg – Insolvenzgericht – 15 IN 287/18</w:t>
      </w:r>
    </w:p>
    <w:p>
      <w:r>
        <w:t>In dem Insolvenzverfahren über das Vermögen der Mainbogen Laborsoftware GmbH werden Schlussbericht, Schlussrechnung, Belege, Schlussverzeichnis und Stellungnahme des Gläubigerausschusses eingereicht.</w:t>
      </w:r>
    </w:p>
    <w:p>
      <w:r>
        <w:t>Es wird beantragt, die Schlussrechnung zu prüfen, die Zustimmung zur Schlussverteilung zu erteilen und den Schlusstermin zu bestimmen. Für die Schlussverteilung stehen nach dem derzeitigen freigegebenen Rechenstand 425.430,00 EUR zur Verfügung.</w:t>
      </w:r>
    </w:p>
    <w:p>
      <w:r>
        <w:t>Ein Auszahlungslauf wird erst nach gerichtlicher Zustimmung, Ablauf und Verarbeitung der einschlägigen Nachweisfristen sowie dokumentierter Endfreigabe erzeugt.</w:t>
      </w:r>
    </w:p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