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Buchhaltungsübergabe und führende Dateien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Abschlussstichtag 30. September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Führende Schlussrechnung</w:t>
            </w:r>
          </w:p>
        </w:tc>
        <w:tc>
          <w:tcPr>
            <w:tcW w:type="dxa" w:w="4844"/>
            <w:vAlign w:val="top"/>
          </w:tcPr>
          <w:p>
            <w:r>
              <w:t>09_Schlussrechnung_und_Kontenabgleich.xlsx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Führendes Schlussverzeichnis</w:t>
            </w:r>
          </w:p>
        </w:tc>
        <w:tc>
          <w:tcPr>
            <w:tcW w:type="dxa" w:w="4844"/>
            <w:vAlign w:val="top"/>
          </w:tcPr>
          <w:p>
            <w:r>
              <w:t>12_Schlussverzeichnis.xlsx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Führende Quote</w:t>
            </w:r>
          </w:p>
        </w:tc>
        <w:tc>
          <w:tcPr>
            <w:tcW w:type="dxa" w:w="4844"/>
            <w:vAlign w:val="top"/>
          </w:tcPr>
          <w:p>
            <w:r>
              <w:t>13_Quotenberechnung.xlsx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Bankstichtag</w:t>
            </w:r>
          </w:p>
        </w:tc>
        <w:tc>
          <w:tcPr>
            <w:tcW w:type="dxa" w:w="4844"/>
            <w:vAlign w:val="top"/>
          </w:tcPr>
          <w:p>
            <w:r>
              <w:t>30. September 2026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Buchungsperiode</w:t>
            </w:r>
          </w:p>
        </w:tc>
        <w:tc>
          <w:tcPr>
            <w:tcW w:type="dxa" w:w="4844"/>
            <w:vAlign w:val="top"/>
          </w:tcPr>
          <w:p>
            <w:r>
              <w:t>2018-10 bis 2026-09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Änderungssperre</w:t>
            </w:r>
          </w:p>
        </w:tc>
        <w:tc>
          <w:tcPr>
            <w:tcW w:type="dxa" w:w="4844"/>
            <w:vAlign w:val="top"/>
          </w:tcPr>
          <w:p>
            <w:r>
              <w:t>nach Freigabe nur durch dokumentierten Revisionslauf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