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Zwischenbericht</w:t>
      </w:r>
    </w:p>
    <w:p>
      <w:pPr>
        <w:jc w:val="center"/>
      </w:pPr>
      <w:r>
        <w:rPr>
          <w:b/>
        </w:rPr>
        <w:t>Möbelwerk Havelberg GmbH – AG Stendal 7 IN 41/26</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31. Oktober 2026</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Berichtszeitraum 25. Juni bis 31. Oktober 2026</w:t>
            </w:r>
          </w:p>
        </w:tc>
      </w:tr>
    </w:tbl>
    <w:p/>
    <w:p>
      <w:pPr>
        <w:pStyle w:val="Heading1"/>
      </w:pPr>
      <w:r>
        <w:t>1. Stand der Verwertung</w:t>
      </w:r>
    </w:p>
    <w:p>
      <w:pPr>
        <w:spacing w:after="120"/>
      </w:pPr>
      <w:r>
        <w:t>Der Geschäftsbetrieb ist eingestellt. Die Maschinen, die Lackierkabine, die Büro- und IT-Ausstattung sowie die freien Forderungen sind verwertet. Die Havelbank eG erhielt auf ihre festgestellte Forderung von 480.000,00 EUR aus der Sicherheitenverwertung 343.500,00 EUR. Der belegte Ausfall beträgt damit 136.500,00 EUR und nimmt als festgestellte Forderung nach § 38 InsO an der Verteilung teil.</w:t>
      </w:r>
    </w:p>
    <w:p>
      <w:pPr>
        <w:pStyle w:val="Heading1"/>
      </w:pPr>
      <w:r>
        <w:t>2. Anspruchsverfolgung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rFonts w:ascii="Times New Roman" w:hAnsi="Times New Roman"/>
                <w:b/>
                <w:sz w:val="20"/>
              </w:rPr>
              <w:t>Vorgang</w:t>
            </w:r>
          </w:p>
        </w:tc>
        <w:tc>
          <w:tcPr>
            <w:tcW w:type="dxa" w:w="2436"/>
            <w:shd w:fill="D9EAF7"/>
          </w:tcPr>
          <w:p>
            <w:r>
              <w:rPr>
                <w:rFonts w:ascii="Times New Roman" w:hAnsi="Times New Roman"/>
                <w:b/>
                <w:sz w:val="20"/>
              </w:rPr>
              <w:t>Nominalwert</w:t>
            </w:r>
          </w:p>
        </w:tc>
        <w:tc>
          <w:tcPr>
            <w:tcW w:type="dxa" w:w="2436"/>
            <w:shd w:fill="D9EAF7"/>
          </w:tcPr>
          <w:p>
            <w:r>
              <w:rPr>
                <w:rFonts w:ascii="Times New Roman" w:hAnsi="Times New Roman"/>
                <w:b/>
                <w:sz w:val="20"/>
              </w:rPr>
              <w:t>Stand</w:t>
            </w:r>
          </w:p>
        </w:tc>
        <w:tc>
          <w:tcPr>
            <w:tcW w:type="dxa" w:w="2436"/>
            <w:shd w:fill="D9EAF7"/>
          </w:tcPr>
          <w:p>
            <w:r>
              <w:rPr>
                <w:rFonts w:ascii="Times New Roman" w:hAnsi="Times New Roman"/>
                <w:b/>
                <w:sz w:val="20"/>
              </w:rPr>
              <w:t>Erwarteter freier Zufluss</w:t>
            </w:r>
          </w:p>
        </w:tc>
      </w:tr>
      <w:tr>
        <w:tc>
          <w:tcPr>
            <w:tcW w:type="dxa" w:w="2436"/>
            <w:vAlign w:val="top"/>
          </w:tcPr>
          <w:p>
            <w:r>
              <w:rPr>
                <w:rFonts w:ascii="Times New Roman" w:hAnsi="Times New Roman"/>
                <w:sz w:val="18"/>
              </w:rPr>
              <w:t>D&amp;O-Vergleich</w:t>
            </w:r>
          </w:p>
        </w:tc>
        <w:tc>
          <w:tcPr>
            <w:tcW w:type="dxa" w:w="2436"/>
            <w:vAlign w:val="top"/>
          </w:tcPr>
          <w:p>
            <w:r>
              <w:rPr>
                <w:rFonts w:ascii="Times New Roman" w:hAnsi="Times New Roman"/>
                <w:sz w:val="18"/>
              </w:rPr>
              <w:t>115.000,00 EUR</w:t>
            </w:r>
          </w:p>
        </w:tc>
        <w:tc>
          <w:tcPr>
            <w:tcW w:type="dxa" w:w="2436"/>
            <w:vAlign w:val="top"/>
          </w:tcPr>
          <w:p>
            <w:r>
              <w:rPr>
                <w:rFonts w:ascii="Times New Roman" w:hAnsi="Times New Roman"/>
                <w:sz w:val="18"/>
              </w:rPr>
              <w:t>unterzeichnet und bezahlt</w:t>
            </w:r>
          </w:p>
        </w:tc>
        <w:tc>
          <w:tcPr>
            <w:tcW w:type="dxa" w:w="2436"/>
            <w:vAlign w:val="top"/>
          </w:tcPr>
          <w:p>
            <w:r>
              <w:rPr>
                <w:rFonts w:ascii="Times New Roman" w:hAnsi="Times New Roman"/>
                <w:sz w:val="18"/>
              </w:rPr>
              <w:t>115.000,00 EUR</w:t>
            </w:r>
          </w:p>
        </w:tc>
      </w:tr>
      <w:tr>
        <w:tc>
          <w:tcPr>
            <w:tcW w:type="dxa" w:w="2436"/>
            <w:vAlign w:val="top"/>
          </w:tcPr>
          <w:p>
            <w:r>
              <w:rPr>
                <w:rFonts w:ascii="Times New Roman" w:hAnsi="Times New Roman"/>
                <w:sz w:val="18"/>
              </w:rPr>
              <w:t>Anfechtungsvergleiche</w:t>
            </w:r>
          </w:p>
        </w:tc>
        <w:tc>
          <w:tcPr>
            <w:tcW w:type="dxa" w:w="2436"/>
            <w:vAlign w:val="top"/>
          </w:tcPr>
          <w:p>
            <w:r>
              <w:rPr>
                <w:rFonts w:ascii="Times New Roman" w:hAnsi="Times New Roman"/>
                <w:sz w:val="18"/>
              </w:rPr>
              <w:t>41.000,00 EUR</w:t>
            </w:r>
          </w:p>
        </w:tc>
        <w:tc>
          <w:tcPr>
            <w:tcW w:type="dxa" w:w="2436"/>
            <w:vAlign w:val="top"/>
          </w:tcPr>
          <w:p>
            <w:r>
              <w:rPr>
                <w:rFonts w:ascii="Times New Roman" w:hAnsi="Times New Roman"/>
                <w:sz w:val="18"/>
              </w:rPr>
              <w:t>vollständig bezahlt</w:t>
            </w:r>
          </w:p>
        </w:tc>
        <w:tc>
          <w:tcPr>
            <w:tcW w:type="dxa" w:w="2436"/>
            <w:vAlign w:val="top"/>
          </w:tcPr>
          <w:p>
            <w:r>
              <w:rPr>
                <w:rFonts w:ascii="Times New Roman" w:hAnsi="Times New Roman"/>
                <w:sz w:val="18"/>
              </w:rPr>
              <w:t>41.000,00 EUR</w:t>
            </w:r>
          </w:p>
        </w:tc>
      </w:tr>
      <w:tr>
        <w:tc>
          <w:tcPr>
            <w:tcW w:type="dxa" w:w="2436"/>
            <w:vAlign w:val="top"/>
          </w:tcPr>
          <w:p>
            <w:r>
              <w:rPr>
                <w:rFonts w:ascii="Times New Roman" w:hAnsi="Times New Roman"/>
                <w:sz w:val="18"/>
              </w:rPr>
              <w:t>Zahlung Tim Brauer</w:t>
            </w:r>
          </w:p>
        </w:tc>
        <w:tc>
          <w:tcPr>
            <w:tcW w:type="dxa" w:w="2436"/>
            <w:vAlign w:val="top"/>
          </w:tcPr>
          <w:p>
            <w:r>
              <w:rPr>
                <w:rFonts w:ascii="Times New Roman" w:hAnsi="Times New Roman"/>
                <w:sz w:val="18"/>
              </w:rPr>
              <w:t>12.500,00 EUR</w:t>
            </w:r>
          </w:p>
        </w:tc>
        <w:tc>
          <w:tcPr>
            <w:tcW w:type="dxa" w:w="2436"/>
            <w:vAlign w:val="top"/>
          </w:tcPr>
          <w:p>
            <w:r>
              <w:rPr>
                <w:rFonts w:ascii="Times New Roman" w:hAnsi="Times New Roman"/>
                <w:sz w:val="18"/>
              </w:rPr>
              <w:t>im Vergleichspaket abgegolten</w:t>
            </w:r>
          </w:p>
        </w:tc>
        <w:tc>
          <w:tcPr>
            <w:tcW w:type="dxa" w:w="2436"/>
            <w:vAlign w:val="top"/>
          </w:tcPr>
          <w:p>
            <w:r>
              <w:rPr>
                <w:rFonts w:ascii="Times New Roman" w:hAnsi="Times New Roman"/>
                <w:sz w:val="18"/>
              </w:rPr>
              <w:t>0,00 EUR</w:t>
            </w:r>
          </w:p>
        </w:tc>
      </w:tr>
      <w:tr>
        <w:tc>
          <w:tcPr>
            <w:tcW w:type="dxa" w:w="2436"/>
            <w:vAlign w:val="top"/>
          </w:tcPr>
          <w:p>
            <w:r>
              <w:rPr>
                <w:rFonts w:ascii="Times New Roman" w:hAnsi="Times New Roman"/>
                <w:sz w:val="18"/>
              </w:rPr>
              <w:t>Steuererstattung</w:t>
            </w:r>
          </w:p>
        </w:tc>
        <w:tc>
          <w:tcPr>
            <w:tcW w:type="dxa" w:w="2436"/>
            <w:vAlign w:val="top"/>
          </w:tcPr>
          <w:p>
            <w:r>
              <w:rPr>
                <w:rFonts w:ascii="Times New Roman" w:hAnsi="Times New Roman"/>
                <w:sz w:val="18"/>
              </w:rPr>
              <w:t>14.200,00 EUR</w:t>
            </w:r>
          </w:p>
        </w:tc>
        <w:tc>
          <w:tcPr>
            <w:tcW w:type="dxa" w:w="2436"/>
            <w:vAlign w:val="top"/>
          </w:tcPr>
          <w:p>
            <w:r>
              <w:rPr>
                <w:rFonts w:ascii="Times New Roman" w:hAnsi="Times New Roman"/>
                <w:sz w:val="18"/>
              </w:rPr>
              <w:t>eingegangen</w:t>
            </w:r>
          </w:p>
        </w:tc>
        <w:tc>
          <w:tcPr>
            <w:tcW w:type="dxa" w:w="2436"/>
            <w:vAlign w:val="top"/>
          </w:tcPr>
          <w:p>
            <w:r>
              <w:rPr>
                <w:rFonts w:ascii="Times New Roman" w:hAnsi="Times New Roman"/>
                <w:sz w:val="18"/>
              </w:rPr>
              <w:t>14.200,00 EUR</w:t>
            </w:r>
          </w:p>
        </w:tc>
      </w:tr>
    </w:tbl>
    <w:p/>
    <w:p>
      <w:pPr>
        <w:pStyle w:val="Heading1"/>
      </w:pPr>
      <w:r>
        <w:t>3. Tabelle</w:t>
      </w:r>
    </w:p>
    <w:p>
      <w:pPr>
        <w:spacing w:after="120"/>
      </w:pPr>
      <w:r>
        <w:t>Für die spätere Schlussverteilung sind Forderungen nach § 38 InsO von 862.900,00 EUR festgestellt. Die Forderung M. Kordes über 7.800,00 EUR ist vollständig bestritten. Der nachrangige Gesellschafterdarlehensanspruch von 120.000,00 EUR wird gesondert geführt und gehört nicht zur aktuellen Verteilungsbasis.</w:t>
      </w:r>
    </w:p>
    <w:p>
      <w:pPr>
        <w:pStyle w:val="Heading1"/>
      </w:pPr>
      <w:r>
        <w:t>4. Rechnungslegung</w:t>
      </w:r>
    </w:p>
    <w:p>
      <w:pPr>
        <w:spacing w:after="120"/>
      </w:pPr>
      <w:r>
        <w:t>Die bisherige Arbeitsfassung der Schlussrechnung darf nicht verwendet werden, solange gesicherte Durchlaufserlöse und Auskehrungen an die Havelbank nur einseitig erfasst sind. Für die Abschlussfassung werden 343.500,00 EUR sowohl als Sicherheitenzufluss als auch als Auskehrung ausgewiesen. Dadurch bleibt der freie Saldo unverändert, der Geldfluss wird aber vollständig sichtbar.</w:t>
      </w:r>
    </w:p>
    <w:p>
      <w:pPr>
        <w:pStyle w:val="Heading1"/>
      </w:pPr>
      <w:r>
        <w:t>5. Nächste Schritte</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Schritt</w:t>
            </w:r>
          </w:p>
        </w:tc>
        <w:tc>
          <w:tcPr>
            <w:tcW w:type="dxa" w:w="3248"/>
            <w:shd w:fill="D9EAF7"/>
          </w:tcPr>
          <w:p>
            <w:r>
              <w:rPr>
                <w:rFonts w:ascii="Times New Roman" w:hAnsi="Times New Roman"/>
                <w:b/>
                <w:sz w:val="20"/>
              </w:rPr>
              <w:t>Zieltermin</w:t>
            </w:r>
          </w:p>
        </w:tc>
        <w:tc>
          <w:tcPr>
            <w:tcW w:type="dxa" w:w="3248"/>
            <w:shd w:fill="D9EAF7"/>
          </w:tcPr>
          <w:p>
            <w:r>
              <w:rPr>
                <w:rFonts w:ascii="Times New Roman" w:hAnsi="Times New Roman"/>
                <w:b/>
                <w:sz w:val="20"/>
              </w:rPr>
              <w:t>Gate</w:t>
            </w:r>
          </w:p>
        </w:tc>
      </w:tr>
      <w:tr>
        <w:tc>
          <w:tcPr>
            <w:tcW w:type="dxa" w:w="3248"/>
            <w:vAlign w:val="top"/>
          </w:tcPr>
          <w:p>
            <w:r>
              <w:rPr>
                <w:rFonts w:ascii="Times New Roman" w:hAnsi="Times New Roman"/>
                <w:sz w:val="18"/>
              </w:rPr>
              <w:t>Konten und Belege einschließlich Sicherheitenkonto abstimmen</w:t>
            </w:r>
          </w:p>
        </w:tc>
        <w:tc>
          <w:tcPr>
            <w:tcW w:type="dxa" w:w="3248"/>
            <w:vAlign w:val="top"/>
          </w:tcPr>
          <w:p>
            <w:r>
              <w:rPr>
                <w:rFonts w:ascii="Times New Roman" w:hAnsi="Times New Roman"/>
                <w:sz w:val="18"/>
              </w:rPr>
              <w:t>15.12.2026</w:t>
            </w:r>
          </w:p>
        </w:tc>
        <w:tc>
          <w:tcPr>
            <w:tcW w:type="dxa" w:w="3248"/>
            <w:vAlign w:val="top"/>
          </w:tcPr>
          <w:p>
            <w:r>
              <w:rPr>
                <w:rFonts w:ascii="Times New Roman" w:hAnsi="Times New Roman"/>
                <w:sz w:val="18"/>
              </w:rPr>
              <w:t>keine Differenz</w:t>
            </w:r>
          </w:p>
        </w:tc>
      </w:tr>
      <w:tr>
        <w:tc>
          <w:tcPr>
            <w:tcW w:type="dxa" w:w="3248"/>
            <w:vAlign w:val="top"/>
          </w:tcPr>
          <w:p>
            <w:r>
              <w:rPr>
                <w:rFonts w:ascii="Times New Roman" w:hAnsi="Times New Roman"/>
                <w:sz w:val="18"/>
              </w:rPr>
              <w:t>Vergütungs- und Gerichtskostenstand abschließen</w:t>
            </w:r>
          </w:p>
        </w:tc>
        <w:tc>
          <w:tcPr>
            <w:tcW w:type="dxa" w:w="3248"/>
            <w:vAlign w:val="top"/>
          </w:tcPr>
          <w:p>
            <w:r>
              <w:rPr>
                <w:rFonts w:ascii="Times New Roman" w:hAnsi="Times New Roman"/>
                <w:sz w:val="18"/>
              </w:rPr>
              <w:t>10.01.2027</w:t>
            </w:r>
          </w:p>
        </w:tc>
        <w:tc>
          <w:tcPr>
            <w:tcW w:type="dxa" w:w="3248"/>
            <w:vAlign w:val="top"/>
          </w:tcPr>
          <w:p>
            <w:r>
              <w:rPr>
                <w:rFonts w:ascii="Times New Roman" w:hAnsi="Times New Roman"/>
                <w:sz w:val="18"/>
              </w:rPr>
              <w:t>nur belegte Beträge</w:t>
            </w:r>
          </w:p>
        </w:tc>
      </w:tr>
      <w:tr>
        <w:tc>
          <w:tcPr>
            <w:tcW w:type="dxa" w:w="3248"/>
            <w:vAlign w:val="top"/>
          </w:tcPr>
          <w:p>
            <w:r>
              <w:rPr>
                <w:rFonts w:ascii="Times New Roman" w:hAnsi="Times New Roman"/>
                <w:sz w:val="18"/>
              </w:rPr>
              <w:t>Schlussverzeichnis mit Tabelle abgleichen</w:t>
            </w:r>
          </w:p>
        </w:tc>
        <w:tc>
          <w:tcPr>
            <w:tcW w:type="dxa" w:w="3248"/>
            <w:vAlign w:val="top"/>
          </w:tcPr>
          <w:p>
            <w:r>
              <w:rPr>
                <w:rFonts w:ascii="Times New Roman" w:hAnsi="Times New Roman"/>
                <w:sz w:val="18"/>
              </w:rPr>
              <w:t>15.01.2027</w:t>
            </w:r>
          </w:p>
        </w:tc>
        <w:tc>
          <w:tcPr>
            <w:tcW w:type="dxa" w:w="3248"/>
            <w:vAlign w:val="top"/>
          </w:tcPr>
          <w:p>
            <w:r>
              <w:rPr>
                <w:rFonts w:ascii="Times New Roman" w:hAnsi="Times New Roman"/>
                <w:sz w:val="18"/>
              </w:rPr>
              <w:t>Forderungsbasis 862.900,00 EUR</w:t>
            </w:r>
          </w:p>
        </w:tc>
      </w:tr>
      <w:tr>
        <w:tc>
          <w:tcPr>
            <w:tcW w:type="dxa" w:w="3248"/>
            <w:vAlign w:val="top"/>
          </w:tcPr>
          <w:p>
            <w:r>
              <w:rPr>
                <w:rFonts w:ascii="Times New Roman" w:hAnsi="Times New Roman"/>
                <w:sz w:val="18"/>
              </w:rPr>
              <w:t>Schlussbericht freigeben</w:t>
            </w:r>
          </w:p>
        </w:tc>
        <w:tc>
          <w:tcPr>
            <w:tcW w:type="dxa" w:w="3248"/>
            <w:vAlign w:val="top"/>
          </w:tcPr>
          <w:p>
            <w:r>
              <w:rPr>
                <w:rFonts w:ascii="Times New Roman" w:hAnsi="Times New Roman"/>
                <w:sz w:val="18"/>
              </w:rPr>
              <w:t>20.01.2027</w:t>
            </w:r>
          </w:p>
        </w:tc>
        <w:tc>
          <w:tcPr>
            <w:tcW w:type="dxa" w:w="3248"/>
            <w:vAlign w:val="top"/>
          </w:tcPr>
          <w:p>
            <w:r>
              <w:rPr>
                <w:rFonts w:ascii="Times New Roman" w:hAnsi="Times New Roman"/>
                <w:sz w:val="18"/>
              </w:rPr>
              <w:t>menschliche Einreichungsfreigabe</w:t>
            </w:r>
          </w:p>
        </w:tc>
      </w:tr>
    </w:tbl>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Zwischenbericht</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