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Prüfvermerk zur Abschlussreife</w:t>
      </w:r>
    </w:p>
    <w:p>
      <w:pPr>
        <w:jc w:val="center"/>
      </w:pPr>
      <w:r>
        <w:rPr>
          <w:b/>
        </w:rPr>
        <w:t>Möbelwerk Havelberg GmbH – Stand 15. Januar 2027</w:t>
      </w:r>
    </w:p>
    <w:tbl>
      <w:tblPr>
        <w:tblStyle w:val="TableGrid"/>
        <w:tblW w:type="auto" w:w="0"/>
        <w:jc w:val="center"/>
        <w:tblLook w:firstColumn="1" w:firstRow="1" w:lastColumn="0" w:lastRow="0" w:noHBand="0" w:noVBand="1" w:val="04A0"/>
      </w:tblPr>
      <w:tblGrid>
        <w:gridCol w:w="4872"/>
        <w:gridCol w:w="4872"/>
      </w:tblGrid>
      <w:tr>
        <w:tc>
          <w:tcPr>
            <w:tcW w:type="dxa" w:w="2835"/>
            <w:shd w:fill="D9EAF7"/>
          </w:tcPr>
          <w:p>
            <w:r>
              <w:rPr>
                <w:rFonts w:ascii="Times New Roman" w:hAnsi="Times New Roman"/>
                <w:b/>
                <w:sz w:val="20"/>
              </w:rPr>
              <w:t>Verfahrensangabe</w:t>
            </w:r>
          </w:p>
        </w:tc>
        <w:tc>
          <w:tcPr>
            <w:tcW w:type="dxa" w:w="6236"/>
            <w:shd w:fill="D9EAF7"/>
          </w:tcPr>
          <w:p>
            <w:r>
              <w:rPr>
                <w:rFonts w:ascii="Times New Roman" w:hAnsi="Times New Roman"/>
                <w:b/>
                <w:sz w:val="20"/>
              </w:rPr>
              <w:t>Wert</w:t>
            </w:r>
          </w:p>
        </w:tc>
      </w:tr>
      <w:tr>
        <w:tc>
          <w:tcPr>
            <w:tcW w:type="dxa" w:w="2835"/>
            <w:vAlign w:val="top"/>
          </w:tcPr>
          <w:p>
            <w:r>
              <w:rPr>
                <w:rFonts w:ascii="Times New Roman" w:hAnsi="Times New Roman"/>
                <w:sz w:val="18"/>
              </w:rPr>
              <w:t>Insolvenzgericht</w:t>
            </w:r>
          </w:p>
        </w:tc>
        <w:tc>
          <w:tcPr>
            <w:tcW w:type="dxa" w:w="6236"/>
            <w:vAlign w:val="top"/>
          </w:tcPr>
          <w:p>
            <w:r>
              <w:rPr>
                <w:rFonts w:ascii="Times New Roman" w:hAnsi="Times New Roman"/>
                <w:sz w:val="18"/>
              </w:rPr>
              <w:t>Amtsgericht Stendal</w:t>
            </w:r>
          </w:p>
        </w:tc>
      </w:tr>
      <w:tr>
        <w:tc>
          <w:tcPr>
            <w:tcW w:type="dxa" w:w="2835"/>
            <w:vAlign w:val="top"/>
          </w:tcPr>
          <w:p>
            <w:r>
              <w:rPr>
                <w:rFonts w:ascii="Times New Roman" w:hAnsi="Times New Roman"/>
                <w:sz w:val="18"/>
              </w:rPr>
              <w:t>Aktenzeichen</w:t>
            </w:r>
          </w:p>
        </w:tc>
        <w:tc>
          <w:tcPr>
            <w:tcW w:type="dxa" w:w="6236"/>
            <w:vAlign w:val="top"/>
          </w:tcPr>
          <w:p>
            <w:r>
              <w:rPr>
                <w:rFonts w:ascii="Times New Roman" w:hAnsi="Times New Roman"/>
                <w:sz w:val="18"/>
              </w:rPr>
              <w:t>7 IN 41/26</w:t>
            </w:r>
          </w:p>
        </w:tc>
      </w:tr>
      <w:tr>
        <w:tc>
          <w:tcPr>
            <w:tcW w:type="dxa" w:w="2835"/>
            <w:vAlign w:val="top"/>
          </w:tcPr>
          <w:p>
            <w:r>
              <w:rPr>
                <w:rFonts w:ascii="Times New Roman" w:hAnsi="Times New Roman"/>
                <w:sz w:val="18"/>
              </w:rPr>
              <w:t>Schuldnerin</w:t>
            </w:r>
          </w:p>
        </w:tc>
        <w:tc>
          <w:tcPr>
            <w:tcW w:type="dxa" w:w="6236"/>
            <w:vAlign w:val="top"/>
          </w:tcPr>
          <w:p>
            <w:r>
              <w:rPr>
                <w:rFonts w:ascii="Times New Roman" w:hAnsi="Times New Roman"/>
                <w:sz w:val="18"/>
              </w:rPr>
              <w:t>Möbelwerk Havelberg GmbH</w:t>
            </w:r>
          </w:p>
        </w:tc>
      </w:tr>
      <w:tr>
        <w:tc>
          <w:tcPr>
            <w:tcW w:type="dxa" w:w="2835"/>
            <w:vAlign w:val="top"/>
          </w:tcPr>
          <w:p>
            <w:r>
              <w:rPr>
                <w:rFonts w:ascii="Times New Roman" w:hAnsi="Times New Roman"/>
                <w:sz w:val="18"/>
              </w:rPr>
              <w:t>Insolvenzverwaltung</w:t>
            </w:r>
          </w:p>
        </w:tc>
        <w:tc>
          <w:tcPr>
            <w:tcW w:type="dxa" w:w="6236"/>
            <w:vAlign w:val="top"/>
          </w:tcPr>
          <w:p>
            <w:r>
              <w:rPr>
                <w:rFonts w:ascii="Times New Roman" w:hAnsi="Times New Roman"/>
                <w:sz w:val="18"/>
              </w:rPr>
              <w:t>Dr. Nora Westphal</w:t>
            </w:r>
          </w:p>
        </w:tc>
      </w:tr>
      <w:tr>
        <w:tc>
          <w:tcPr>
            <w:tcW w:type="dxa" w:w="2835"/>
            <w:vAlign w:val="top"/>
          </w:tcPr>
          <w:p>
            <w:r>
              <w:rPr>
                <w:rFonts w:ascii="Times New Roman" w:hAnsi="Times New Roman"/>
                <w:sz w:val="18"/>
              </w:rPr>
              <w:t>Datum</w:t>
            </w:r>
          </w:p>
        </w:tc>
        <w:tc>
          <w:tcPr>
            <w:tcW w:type="dxa" w:w="6236"/>
            <w:vAlign w:val="top"/>
          </w:tcPr>
          <w:p>
            <w:r>
              <w:rPr>
                <w:rFonts w:ascii="Times New Roman" w:hAnsi="Times New Roman"/>
                <w:sz w:val="18"/>
              </w:rPr>
              <w:t>15. Januar 2027</w:t>
            </w:r>
          </w:p>
        </w:tc>
      </w:tr>
      <w:tr>
        <w:tc>
          <w:tcPr>
            <w:tcW w:type="dxa" w:w="2835"/>
            <w:vAlign w:val="top"/>
          </w:tcPr>
          <w:p>
            <w:r>
              <w:rPr>
                <w:rFonts w:ascii="Times New Roman" w:hAnsi="Times New Roman"/>
                <w:sz w:val="18"/>
              </w:rPr>
              <w:t>Gegenstand</w:t>
            </w:r>
          </w:p>
        </w:tc>
        <w:tc>
          <w:tcPr>
            <w:tcW w:type="dxa" w:w="6236"/>
            <w:vAlign w:val="top"/>
          </w:tcPr>
          <w:p>
            <w:r>
              <w:rPr>
                <w:rFonts w:ascii="Times New Roman" w:hAnsi="Times New Roman"/>
                <w:sz w:val="18"/>
              </w:rPr>
              <w:t>Konten-, Tabellen- und Verwertungsgate</w:t>
            </w:r>
          </w:p>
        </w:tc>
      </w:tr>
    </w:tbl>
    <w:p/>
    <w:p>
      <w:pPr>
        <w:pStyle w:val="Heading1"/>
      </w:pPr>
      <w:r>
        <w:t>1. Konten</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AF7"/>
          </w:tcPr>
          <w:p>
            <w:r>
              <w:rPr>
                <w:rFonts w:ascii="Times New Roman" w:hAnsi="Times New Roman"/>
                <w:b/>
                <w:sz w:val="20"/>
              </w:rPr>
              <w:t>Prüfung</w:t>
            </w:r>
          </w:p>
        </w:tc>
        <w:tc>
          <w:tcPr>
            <w:tcW w:type="dxa" w:w="2436"/>
            <w:shd w:fill="D9EAF7"/>
          </w:tcPr>
          <w:p>
            <w:r>
              <w:rPr>
                <w:rFonts w:ascii="Times New Roman" w:hAnsi="Times New Roman"/>
                <w:b/>
                <w:sz w:val="20"/>
              </w:rPr>
              <w:t>Buchwert</w:t>
            </w:r>
          </w:p>
        </w:tc>
        <w:tc>
          <w:tcPr>
            <w:tcW w:type="dxa" w:w="2436"/>
            <w:shd w:fill="D9EAF7"/>
          </w:tcPr>
          <w:p>
            <w:r>
              <w:rPr>
                <w:rFonts w:ascii="Times New Roman" w:hAnsi="Times New Roman"/>
                <w:b/>
                <w:sz w:val="20"/>
              </w:rPr>
              <w:t>Fremdnachweis</w:t>
            </w:r>
          </w:p>
        </w:tc>
        <w:tc>
          <w:tcPr>
            <w:tcW w:type="dxa" w:w="2436"/>
            <w:shd w:fill="D9EAF7"/>
          </w:tcPr>
          <w:p>
            <w:r>
              <w:rPr>
                <w:rFonts w:ascii="Times New Roman" w:hAnsi="Times New Roman"/>
                <w:b/>
                <w:sz w:val="20"/>
              </w:rPr>
              <w:t>Differenz</w:t>
            </w:r>
          </w:p>
        </w:tc>
      </w:tr>
      <w:tr>
        <w:tc>
          <w:tcPr>
            <w:tcW w:type="dxa" w:w="2436"/>
            <w:vAlign w:val="top"/>
          </w:tcPr>
          <w:p>
            <w:r>
              <w:rPr>
                <w:rFonts w:ascii="Times New Roman" w:hAnsi="Times New Roman"/>
                <w:sz w:val="18"/>
              </w:rPr>
              <w:t>Massekonto</w:t>
            </w:r>
          </w:p>
        </w:tc>
        <w:tc>
          <w:tcPr>
            <w:tcW w:type="dxa" w:w="2436"/>
            <w:vAlign w:val="top"/>
          </w:tcPr>
          <w:p>
            <w:r>
              <w:rPr>
                <w:rFonts w:ascii="Times New Roman" w:hAnsi="Times New Roman"/>
                <w:sz w:val="18"/>
              </w:rPr>
              <w:t>289.790,00 EUR</w:t>
            </w:r>
          </w:p>
        </w:tc>
        <w:tc>
          <w:tcPr>
            <w:tcW w:type="dxa" w:w="2436"/>
            <w:vAlign w:val="top"/>
          </w:tcPr>
          <w:p>
            <w:r>
              <w:rPr>
                <w:rFonts w:ascii="Times New Roman" w:hAnsi="Times New Roman"/>
                <w:sz w:val="18"/>
              </w:rPr>
              <w:t>289.790,00 EUR</w:t>
            </w:r>
          </w:p>
        </w:tc>
        <w:tc>
          <w:tcPr>
            <w:tcW w:type="dxa" w:w="2436"/>
            <w:vAlign w:val="top"/>
          </w:tcPr>
          <w:p>
            <w:r>
              <w:rPr>
                <w:rFonts w:ascii="Times New Roman" w:hAnsi="Times New Roman"/>
                <w:sz w:val="18"/>
              </w:rPr>
              <w:t>0,00 EUR</w:t>
            </w:r>
          </w:p>
        </w:tc>
      </w:tr>
      <w:tr>
        <w:tc>
          <w:tcPr>
            <w:tcW w:type="dxa" w:w="2436"/>
            <w:vAlign w:val="top"/>
          </w:tcPr>
          <w:p>
            <w:r>
              <w:rPr>
                <w:rFonts w:ascii="Times New Roman" w:hAnsi="Times New Roman"/>
                <w:sz w:val="18"/>
              </w:rPr>
              <w:t>Sicherheitenkonto</w:t>
            </w:r>
          </w:p>
        </w:tc>
        <w:tc>
          <w:tcPr>
            <w:tcW w:type="dxa" w:w="2436"/>
            <w:vAlign w:val="top"/>
          </w:tcPr>
          <w:p>
            <w:r>
              <w:rPr>
                <w:rFonts w:ascii="Times New Roman" w:hAnsi="Times New Roman"/>
                <w:sz w:val="18"/>
              </w:rPr>
              <w:t>0,00 EUR</w:t>
            </w:r>
          </w:p>
        </w:tc>
        <w:tc>
          <w:tcPr>
            <w:tcW w:type="dxa" w:w="2436"/>
            <w:vAlign w:val="top"/>
          </w:tcPr>
          <w:p>
            <w:r>
              <w:rPr>
                <w:rFonts w:ascii="Times New Roman" w:hAnsi="Times New Roman"/>
                <w:sz w:val="18"/>
              </w:rPr>
              <w:t>0,00 EUR</w:t>
            </w:r>
          </w:p>
        </w:tc>
        <w:tc>
          <w:tcPr>
            <w:tcW w:type="dxa" w:w="2436"/>
            <w:vAlign w:val="top"/>
          </w:tcPr>
          <w:p>
            <w:r>
              <w:rPr>
                <w:rFonts w:ascii="Times New Roman" w:hAnsi="Times New Roman"/>
                <w:sz w:val="18"/>
              </w:rPr>
              <w:t>0,00 EUR</w:t>
            </w:r>
          </w:p>
        </w:tc>
      </w:tr>
      <w:tr>
        <w:tc>
          <w:tcPr>
            <w:tcW w:type="dxa" w:w="2436"/>
            <w:vAlign w:val="top"/>
          </w:tcPr>
          <w:p>
            <w:r>
              <w:rPr>
                <w:rFonts w:ascii="Times New Roman" w:hAnsi="Times New Roman"/>
                <w:sz w:val="18"/>
              </w:rPr>
              <w:t>Barkasse</w:t>
            </w:r>
          </w:p>
        </w:tc>
        <w:tc>
          <w:tcPr>
            <w:tcW w:type="dxa" w:w="2436"/>
            <w:vAlign w:val="top"/>
          </w:tcPr>
          <w:p>
            <w:r>
              <w:rPr>
                <w:rFonts w:ascii="Times New Roman" w:hAnsi="Times New Roman"/>
                <w:sz w:val="18"/>
              </w:rPr>
              <w:t>0,00 EUR</w:t>
            </w:r>
          </w:p>
        </w:tc>
        <w:tc>
          <w:tcPr>
            <w:tcW w:type="dxa" w:w="2436"/>
            <w:vAlign w:val="top"/>
          </w:tcPr>
          <w:p>
            <w:r>
              <w:rPr>
                <w:rFonts w:ascii="Times New Roman" w:hAnsi="Times New Roman"/>
                <w:sz w:val="18"/>
              </w:rPr>
              <w:t>0,00 EUR</w:t>
            </w:r>
          </w:p>
        </w:tc>
        <w:tc>
          <w:tcPr>
            <w:tcW w:type="dxa" w:w="2436"/>
            <w:vAlign w:val="top"/>
          </w:tcPr>
          <w:p>
            <w:r>
              <w:rPr>
                <w:rFonts w:ascii="Times New Roman" w:hAnsi="Times New Roman"/>
                <w:sz w:val="18"/>
              </w:rPr>
              <w:t>0,00 EUR</w:t>
            </w:r>
          </w:p>
        </w:tc>
      </w:tr>
    </w:tbl>
    <w:p/>
    <w:p>
      <w:pPr>
        <w:pStyle w:val="Heading1"/>
      </w:pPr>
      <w:r>
        <w:t>2. Verwertung</w:t>
      </w:r>
    </w:p>
    <w:p>
      <w:pPr>
        <w:spacing w:after="120"/>
      </w:pPr>
      <w:r>
        <w:t>Alle im Masseverzeichnis geführten Vermögensgegenstände sind als verwertet, aus rechtlichem Grund freigegeben oder ohne realisierbaren Wert ausgebucht. Für jede Ausbuchung liegt ein Einzelvermerk vor. Es bestehen keine laufenden Prozesse und keine unbehandelten Kaufpreisraten.</w:t>
      </w:r>
    </w:p>
    <w:p>
      <w:pPr>
        <w:pStyle w:val="Heading1"/>
      </w:pPr>
      <w:r>
        <w:t>3. Tabelle und Quote</w:t>
      </w:r>
    </w:p>
    <w:p>
      <w:pPr>
        <w:spacing w:after="120"/>
      </w:pPr>
      <w:r>
        <w:t>Die gerichtliche Tabelle weist 862.900,00 EUR festgestellte Forderungen nach § 38 InsO aus. Die Teilungsmasse beträgt 289.790,00 EUR. Die ungerundete Quote beträgt 33,5832657318 Prozent. Die centgenaue Auszahlungsdatei summiert sich auf 289.790,00 EUR.</w:t>
      </w:r>
    </w:p>
    <w:p>
      <w:pPr>
        <w:pStyle w:val="Heading1"/>
      </w:pPr>
      <w:r>
        <w:t>4. Gate-Entscheidung</w:t>
      </w:r>
    </w:p>
    <w:tbl>
      <w:tblPr>
        <w:tblStyle w:val="TableGrid"/>
        <w:tblW w:type="auto" w:w="0"/>
        <w:jc w:val="center"/>
        <w:tblLook w:firstColumn="1" w:firstRow="1" w:lastColumn="0" w:lastRow="0" w:noHBand="0" w:noVBand="1" w:val="04A0"/>
      </w:tblPr>
      <w:tblGrid>
        <w:gridCol w:w="3248"/>
        <w:gridCol w:w="3248"/>
        <w:gridCol w:w="3248"/>
      </w:tblGrid>
      <w:tr>
        <w:tc>
          <w:tcPr>
            <w:tcW w:type="dxa" w:w="3248"/>
            <w:shd w:fill="D9EAF7"/>
          </w:tcPr>
          <w:p>
            <w:r>
              <w:rPr>
                <w:rFonts w:ascii="Times New Roman" w:hAnsi="Times New Roman"/>
                <w:b/>
                <w:sz w:val="20"/>
              </w:rPr>
              <w:t>Gate</w:t>
            </w:r>
          </w:p>
        </w:tc>
        <w:tc>
          <w:tcPr>
            <w:tcW w:type="dxa" w:w="3248"/>
            <w:shd w:fill="D9EAF7"/>
          </w:tcPr>
          <w:p>
            <w:r>
              <w:rPr>
                <w:rFonts w:ascii="Times New Roman" w:hAnsi="Times New Roman"/>
                <w:b/>
                <w:sz w:val="20"/>
              </w:rPr>
              <w:t>Ergebnis</w:t>
            </w:r>
          </w:p>
        </w:tc>
        <w:tc>
          <w:tcPr>
            <w:tcW w:type="dxa" w:w="3248"/>
            <w:shd w:fill="D9EAF7"/>
          </w:tcPr>
          <w:p>
            <w:r>
              <w:rPr>
                <w:rFonts w:ascii="Times New Roman" w:hAnsi="Times New Roman"/>
                <w:b/>
                <w:sz w:val="20"/>
              </w:rPr>
              <w:t>Freigabe</w:t>
            </w:r>
          </w:p>
        </w:tc>
      </w:tr>
      <w:tr>
        <w:tc>
          <w:tcPr>
            <w:tcW w:type="dxa" w:w="3248"/>
            <w:vAlign w:val="top"/>
          </w:tcPr>
          <w:p>
            <w:r>
              <w:rPr>
                <w:rFonts w:ascii="Times New Roman" w:hAnsi="Times New Roman"/>
                <w:sz w:val="18"/>
              </w:rPr>
              <w:t>Abschluss der Verwertung</w:t>
            </w:r>
          </w:p>
        </w:tc>
        <w:tc>
          <w:tcPr>
            <w:tcW w:type="dxa" w:w="3248"/>
            <w:vAlign w:val="top"/>
          </w:tcPr>
          <w:p>
            <w:r>
              <w:rPr>
                <w:rFonts w:ascii="Times New Roman" w:hAnsi="Times New Roman"/>
                <w:sz w:val="18"/>
              </w:rPr>
              <w:t>bestanden</w:t>
            </w:r>
          </w:p>
        </w:tc>
        <w:tc>
          <w:tcPr>
            <w:tcW w:type="dxa" w:w="3248"/>
            <w:vAlign w:val="top"/>
          </w:tcPr>
          <w:p>
            <w:r>
              <w:rPr>
                <w:rFonts w:ascii="Times New Roman" w:hAnsi="Times New Roman"/>
                <w:sz w:val="18"/>
              </w:rPr>
              <w:t>Dr. Nora Westphal</w:t>
            </w:r>
          </w:p>
        </w:tc>
      </w:tr>
      <w:tr>
        <w:tc>
          <w:tcPr>
            <w:tcW w:type="dxa" w:w="3248"/>
            <w:vAlign w:val="top"/>
          </w:tcPr>
          <w:p>
            <w:r>
              <w:rPr>
                <w:rFonts w:ascii="Times New Roman" w:hAnsi="Times New Roman"/>
                <w:sz w:val="18"/>
              </w:rPr>
              <w:t>Kontenabgleich</w:t>
            </w:r>
          </w:p>
        </w:tc>
        <w:tc>
          <w:tcPr>
            <w:tcW w:type="dxa" w:w="3248"/>
            <w:vAlign w:val="top"/>
          </w:tcPr>
          <w:p>
            <w:r>
              <w:rPr>
                <w:rFonts w:ascii="Times New Roman" w:hAnsi="Times New Roman"/>
                <w:sz w:val="18"/>
              </w:rPr>
              <w:t>bestanden</w:t>
            </w:r>
          </w:p>
        </w:tc>
        <w:tc>
          <w:tcPr>
            <w:tcW w:type="dxa" w:w="3248"/>
            <w:vAlign w:val="top"/>
          </w:tcPr>
          <w:p>
            <w:r>
              <w:rPr>
                <w:rFonts w:ascii="Times New Roman" w:hAnsi="Times New Roman"/>
                <w:sz w:val="18"/>
              </w:rPr>
              <w:t>Sana Yildiz und Dr. Nora Westphal</w:t>
            </w:r>
          </w:p>
        </w:tc>
      </w:tr>
      <w:tr>
        <w:tc>
          <w:tcPr>
            <w:tcW w:type="dxa" w:w="3248"/>
            <w:vAlign w:val="top"/>
          </w:tcPr>
          <w:p>
            <w:r>
              <w:rPr>
                <w:rFonts w:ascii="Times New Roman" w:hAnsi="Times New Roman"/>
                <w:sz w:val="18"/>
              </w:rPr>
              <w:t>Tabellenabgleich</w:t>
            </w:r>
          </w:p>
        </w:tc>
        <w:tc>
          <w:tcPr>
            <w:tcW w:type="dxa" w:w="3248"/>
            <w:vAlign w:val="top"/>
          </w:tcPr>
          <w:p>
            <w:r>
              <w:rPr>
                <w:rFonts w:ascii="Times New Roman" w:hAnsi="Times New Roman"/>
                <w:sz w:val="18"/>
              </w:rPr>
              <w:t>bestanden</w:t>
            </w:r>
          </w:p>
        </w:tc>
        <w:tc>
          <w:tcPr>
            <w:tcW w:type="dxa" w:w="3248"/>
            <w:vAlign w:val="top"/>
          </w:tcPr>
          <w:p>
            <w:r>
              <w:rPr>
                <w:rFonts w:ascii="Times New Roman" w:hAnsi="Times New Roman"/>
                <w:sz w:val="18"/>
              </w:rPr>
              <w:t>Dr. Nora Westphal</w:t>
            </w:r>
          </w:p>
        </w:tc>
      </w:tr>
      <w:tr>
        <w:tc>
          <w:tcPr>
            <w:tcW w:type="dxa" w:w="3248"/>
            <w:vAlign w:val="top"/>
          </w:tcPr>
          <w:p>
            <w:r>
              <w:rPr>
                <w:rFonts w:ascii="Times New Roman" w:hAnsi="Times New Roman"/>
                <w:sz w:val="18"/>
              </w:rPr>
              <w:t>Einreichung</w:t>
            </w:r>
          </w:p>
        </w:tc>
        <w:tc>
          <w:tcPr>
            <w:tcW w:type="dxa" w:w="3248"/>
            <w:vAlign w:val="top"/>
          </w:tcPr>
          <w:p>
            <w:r>
              <w:rPr>
                <w:rFonts w:ascii="Times New Roman" w:hAnsi="Times New Roman"/>
                <w:sz w:val="18"/>
              </w:rPr>
              <w:t>freigegeben</w:t>
            </w:r>
          </w:p>
        </w:tc>
        <w:tc>
          <w:tcPr>
            <w:tcW w:type="dxa" w:w="3248"/>
            <w:vAlign w:val="top"/>
          </w:tcPr>
          <w:p>
            <w:r>
              <w:rPr>
                <w:rFonts w:ascii="Times New Roman" w:hAnsi="Times New Roman"/>
                <w:sz w:val="18"/>
              </w:rPr>
              <w:t>Dr. Nora Westphal, 20.01.2027</w:t>
            </w:r>
          </w:p>
        </w:tc>
      </w:tr>
      <w:tr>
        <w:tc>
          <w:tcPr>
            <w:tcW w:type="dxa" w:w="3248"/>
            <w:vAlign w:val="top"/>
          </w:tcPr>
          <w:p>
            <w:r>
              <w:rPr>
                <w:rFonts w:ascii="Times New Roman" w:hAnsi="Times New Roman"/>
                <w:sz w:val="18"/>
              </w:rPr>
              <w:t>Auszahlung</w:t>
            </w:r>
          </w:p>
        </w:tc>
        <w:tc>
          <w:tcPr>
            <w:tcW w:type="dxa" w:w="3248"/>
            <w:vAlign w:val="top"/>
          </w:tcPr>
          <w:p>
            <w:r>
              <w:rPr>
                <w:rFonts w:ascii="Times New Roman" w:hAnsi="Times New Roman"/>
                <w:sz w:val="18"/>
              </w:rPr>
              <w:t>noch gesperrt</w:t>
            </w:r>
          </w:p>
        </w:tc>
        <w:tc>
          <w:tcPr>
            <w:tcW w:type="dxa" w:w="3248"/>
            <w:vAlign w:val="top"/>
          </w:tcPr>
          <w:p>
            <w:r>
              <w:rPr>
                <w:rFonts w:ascii="Times New Roman" w:hAnsi="Times New Roman"/>
                <w:sz w:val="18"/>
              </w:rPr>
              <w:t>gerichtliche Zustimmung fehlt</w:t>
            </w:r>
          </w:p>
        </w:tc>
      </w:tr>
    </w:tbl>
    <w:p/>
    <w:sectPr w:rsidR="00FC693F" w:rsidRPr="0006063C" w:rsidSect="00034616">
      <w:pgSz w:w="12240" w:h="15840"/>
      <w:pgMar w:top="1191" w:right="1191"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Prüfvermerk zur Abschlussreife</dc:title>
  <dc:subject>Insolvenzverwaltung</dc:subject>
  <dc:creator>Synthetische Testakte</dc:creator>
  <cp:keywords/>
  <dc:description>generated by python-docx</dc:description>
  <cp:lastModifiedBy/>
  <cp:revision>1</cp:revision>
  <dcterms:created xsi:type="dcterms:W3CDTF">2013-12-23T23:15:00Z</dcterms:created>
  <dcterms:modified xsi:type="dcterms:W3CDTF">2013-12-23T23:15:00Z</dcterms:modified>
  <cp:category/>
</cp:coreProperties>
</file>