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Schlussverzeichnis</w:t>
      </w:r>
    </w:p>
    <w:p>
      <w:pPr>
        <w:jc w:val="center"/>
      </w:pPr>
      <w:r>
        <w:rPr>
          <w:b/>
        </w:rPr>
        <w:t>Möbelwerk Havelberg GmbH – Stand 20. Januar 2027</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Stendal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7 IN 41/26</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Möbelwerk Havelberg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Nora Westphal</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20. Januar 2027</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Verzeichnis nach §§ 188 bis 193 InsO</w:t>
            </w:r>
          </w:p>
        </w:tc>
      </w:tr>
    </w:tbl>
    <w:p/>
    <w:p>
      <w:pPr>
        <w:pStyle w:val="Heading1"/>
      </w:pPr>
      <w:r>
        <w:t>1. Verteilungsdaten</w:t>
      </w:r>
    </w:p>
    <w:p>
      <w:pPr>
        <w:spacing w:after="120"/>
      </w:pPr>
      <w:r>
        <w:t>Die Teilungsmasse beträgt 289.790,00 EUR. Die festgestellten Forderungen nach § 38 InsO betragen 862.900,00 EUR. Die Ausfallforderung der Havelbank eG von 136.500,00 EUR ist erst nach Abzug der gesicherten Befriedigung von 343.500,00 EUR ermittelt.</w:t>
      </w:r>
    </w:p>
    <w:p>
      <w:pPr>
        <w:pStyle w:val="Heading1"/>
      </w:pPr>
      <w:r>
        <w:t>2. Verzeichnis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rFonts w:ascii="Times New Roman" w:hAnsi="Times New Roman"/>
                <w:b/>
                <w:sz w:val="20"/>
              </w:rPr>
              <w:t>Nummer und Gläubiger</w:t>
            </w:r>
          </w:p>
        </w:tc>
        <w:tc>
          <w:tcPr>
            <w:tcW w:type="dxa" w:w="2436"/>
            <w:shd w:fill="D9EAF7"/>
          </w:tcPr>
          <w:p>
            <w:r>
              <w:rPr>
                <w:rFonts w:ascii="Times New Roman" w:hAnsi="Times New Roman"/>
                <w:b/>
                <w:sz w:val="20"/>
              </w:rPr>
              <w:t>Forderung</w:t>
            </w:r>
          </w:p>
        </w:tc>
        <w:tc>
          <w:tcPr>
            <w:tcW w:type="dxa" w:w="2436"/>
            <w:shd w:fill="D9EAF7"/>
          </w:tcPr>
          <w:p>
            <w:r>
              <w:rPr>
                <w:rFonts w:ascii="Times New Roman" w:hAnsi="Times New Roman"/>
                <w:b/>
                <w:sz w:val="20"/>
              </w:rPr>
              <w:t>Auszahlung</w:t>
            </w:r>
          </w:p>
        </w:tc>
        <w:tc>
          <w:tcPr>
            <w:tcW w:type="dxa" w:w="2436"/>
            <w:shd w:fill="D9EAF7"/>
          </w:tcPr>
          <w:p>
            <w:r>
              <w:rPr>
                <w:rFonts w:ascii="Times New Roman" w:hAnsi="Times New Roman"/>
                <w:b/>
                <w:sz w:val="20"/>
              </w:rPr>
              <w:t>Status</w:t>
            </w:r>
          </w:p>
        </w:tc>
      </w:tr>
      <w:tr>
        <w:tc>
          <w:tcPr>
            <w:tcW w:type="dxa" w:w="2436"/>
            <w:vAlign w:val="top"/>
          </w:tcPr>
          <w:p>
            <w:r>
              <w:rPr>
                <w:rFonts w:ascii="Times New Roman" w:hAnsi="Times New Roman"/>
                <w:sz w:val="18"/>
              </w:rPr>
              <w:t>1. Furnier Nord GmbH</w:t>
            </w:r>
          </w:p>
        </w:tc>
        <w:tc>
          <w:tcPr>
            <w:tcW w:type="dxa" w:w="2436"/>
            <w:vAlign w:val="top"/>
          </w:tcPr>
          <w:p>
            <w:r>
              <w:rPr>
                <w:rFonts w:ascii="Times New Roman" w:hAnsi="Times New Roman"/>
                <w:sz w:val="18"/>
              </w:rPr>
              <w:t>186.420,00 EUR</w:t>
            </w:r>
          </w:p>
        </w:tc>
        <w:tc>
          <w:tcPr>
            <w:tcW w:type="dxa" w:w="2436"/>
            <w:vAlign w:val="top"/>
          </w:tcPr>
          <w:p>
            <w:r>
              <w:rPr>
                <w:rFonts w:ascii="Times New Roman" w:hAnsi="Times New Roman"/>
                <w:sz w:val="18"/>
              </w:rPr>
              <w:t>62.605,92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2. Havelbank eG – Ausfall</w:t>
            </w:r>
          </w:p>
        </w:tc>
        <w:tc>
          <w:tcPr>
            <w:tcW w:type="dxa" w:w="2436"/>
            <w:vAlign w:val="top"/>
          </w:tcPr>
          <w:p>
            <w:r>
              <w:rPr>
                <w:rFonts w:ascii="Times New Roman" w:hAnsi="Times New Roman"/>
                <w:sz w:val="18"/>
              </w:rPr>
              <w:t>136.500,00 EUR</w:t>
            </w:r>
          </w:p>
        </w:tc>
        <w:tc>
          <w:tcPr>
            <w:tcW w:type="dxa" w:w="2436"/>
            <w:vAlign w:val="top"/>
          </w:tcPr>
          <w:p>
            <w:r>
              <w:rPr>
                <w:rFonts w:ascii="Times New Roman" w:hAnsi="Times New Roman"/>
                <w:sz w:val="18"/>
              </w:rPr>
              <w:t>45.841,16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3. Finanzamt Stendal</w:t>
            </w:r>
          </w:p>
        </w:tc>
        <w:tc>
          <w:tcPr>
            <w:tcW w:type="dxa" w:w="2436"/>
            <w:vAlign w:val="top"/>
          </w:tcPr>
          <w:p>
            <w:r>
              <w:rPr>
                <w:rFonts w:ascii="Times New Roman" w:hAnsi="Times New Roman"/>
                <w:sz w:val="18"/>
              </w:rPr>
              <w:t>92.340,00 EUR</w:t>
            </w:r>
          </w:p>
        </w:tc>
        <w:tc>
          <w:tcPr>
            <w:tcW w:type="dxa" w:w="2436"/>
            <w:vAlign w:val="top"/>
          </w:tcPr>
          <w:p>
            <w:r>
              <w:rPr>
                <w:rFonts w:ascii="Times New Roman" w:hAnsi="Times New Roman"/>
                <w:sz w:val="18"/>
              </w:rPr>
              <w:t>31.010,79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4. AOK Sachsen-Anhalt</w:t>
            </w:r>
          </w:p>
        </w:tc>
        <w:tc>
          <w:tcPr>
            <w:tcW w:type="dxa" w:w="2436"/>
            <w:vAlign w:val="top"/>
          </w:tcPr>
          <w:p>
            <w:r>
              <w:rPr>
                <w:rFonts w:ascii="Times New Roman" w:hAnsi="Times New Roman"/>
                <w:sz w:val="18"/>
              </w:rPr>
              <w:t>61.200,00 EUR</w:t>
            </w:r>
          </w:p>
        </w:tc>
        <w:tc>
          <w:tcPr>
            <w:tcW w:type="dxa" w:w="2436"/>
            <w:vAlign w:val="top"/>
          </w:tcPr>
          <w:p>
            <w:r>
              <w:rPr>
                <w:rFonts w:ascii="Times New Roman" w:hAnsi="Times New Roman"/>
                <w:sz w:val="18"/>
              </w:rPr>
              <w:t>20.552,96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5. Prignitz Forst KG</w:t>
            </w:r>
          </w:p>
        </w:tc>
        <w:tc>
          <w:tcPr>
            <w:tcW w:type="dxa" w:w="2436"/>
            <w:vAlign w:val="top"/>
          </w:tcPr>
          <w:p>
            <w:r>
              <w:rPr>
                <w:rFonts w:ascii="Times New Roman" w:hAnsi="Times New Roman"/>
                <w:sz w:val="18"/>
              </w:rPr>
              <w:t>43.700,00 EUR</w:t>
            </w:r>
          </w:p>
        </w:tc>
        <w:tc>
          <w:tcPr>
            <w:tcW w:type="dxa" w:w="2436"/>
            <w:vAlign w:val="top"/>
          </w:tcPr>
          <w:p>
            <w:r>
              <w:rPr>
                <w:rFonts w:ascii="Times New Roman" w:hAnsi="Times New Roman"/>
                <w:sz w:val="18"/>
              </w:rPr>
              <w:t>14.675,89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6. Holzbauer GmbH &amp; Co. KG</w:t>
            </w:r>
          </w:p>
        </w:tc>
        <w:tc>
          <w:tcPr>
            <w:tcW w:type="dxa" w:w="2436"/>
            <w:vAlign w:val="top"/>
          </w:tcPr>
          <w:p>
            <w:r>
              <w:rPr>
                <w:rFonts w:ascii="Times New Roman" w:hAnsi="Times New Roman"/>
                <w:sz w:val="18"/>
              </w:rPr>
              <w:t>28.100,00 EUR</w:t>
            </w:r>
          </w:p>
        </w:tc>
        <w:tc>
          <w:tcPr>
            <w:tcW w:type="dxa" w:w="2436"/>
            <w:vAlign w:val="top"/>
          </w:tcPr>
          <w:p>
            <w:r>
              <w:rPr>
                <w:rFonts w:ascii="Times New Roman" w:hAnsi="Times New Roman"/>
                <w:sz w:val="18"/>
              </w:rPr>
              <w:t>9.436,90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7. Beschlagwerk Elbe AG</w:t>
            </w:r>
          </w:p>
        </w:tc>
        <w:tc>
          <w:tcPr>
            <w:tcW w:type="dxa" w:w="2436"/>
            <w:vAlign w:val="top"/>
          </w:tcPr>
          <w:p>
            <w:r>
              <w:rPr>
                <w:rFonts w:ascii="Times New Roman" w:hAnsi="Times New Roman"/>
                <w:sz w:val="18"/>
              </w:rPr>
              <w:t>19.440,00 EUR</w:t>
            </w:r>
          </w:p>
        </w:tc>
        <w:tc>
          <w:tcPr>
            <w:tcW w:type="dxa" w:w="2436"/>
            <w:vAlign w:val="top"/>
          </w:tcPr>
          <w:p>
            <w:r>
              <w:rPr>
                <w:rFonts w:ascii="Times New Roman" w:hAnsi="Times New Roman"/>
                <w:sz w:val="18"/>
              </w:rPr>
              <w:t>6.528,58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8. Havelstrom GbR</w:t>
            </w:r>
          </w:p>
        </w:tc>
        <w:tc>
          <w:tcPr>
            <w:tcW w:type="dxa" w:w="2436"/>
            <w:vAlign w:val="top"/>
          </w:tcPr>
          <w:p>
            <w:r>
              <w:rPr>
                <w:rFonts w:ascii="Times New Roman" w:hAnsi="Times New Roman"/>
                <w:sz w:val="18"/>
              </w:rPr>
              <w:t>48.000,00 EUR</w:t>
            </w:r>
          </w:p>
        </w:tc>
        <w:tc>
          <w:tcPr>
            <w:tcW w:type="dxa" w:w="2436"/>
            <w:vAlign w:val="top"/>
          </w:tcPr>
          <w:p>
            <w:r>
              <w:rPr>
                <w:rFonts w:ascii="Times New Roman" w:hAnsi="Times New Roman"/>
                <w:sz w:val="18"/>
              </w:rPr>
              <w:t>16.119,97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9. Arbeitnehmerforderungen</w:t>
            </w:r>
          </w:p>
        </w:tc>
        <w:tc>
          <w:tcPr>
            <w:tcW w:type="dxa" w:w="2436"/>
            <w:vAlign w:val="top"/>
          </w:tcPr>
          <w:p>
            <w:r>
              <w:rPr>
                <w:rFonts w:ascii="Times New Roman" w:hAnsi="Times New Roman"/>
                <w:sz w:val="18"/>
              </w:rPr>
              <w:t>236.000,00 EUR</w:t>
            </w:r>
          </w:p>
        </w:tc>
        <w:tc>
          <w:tcPr>
            <w:tcW w:type="dxa" w:w="2436"/>
            <w:vAlign w:val="top"/>
          </w:tcPr>
          <w:p>
            <w:r>
              <w:rPr>
                <w:rFonts w:ascii="Times New Roman" w:hAnsi="Times New Roman"/>
                <w:sz w:val="18"/>
              </w:rPr>
              <w:t>79.256,51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10. Würtl-Leasing GmbH</w:t>
            </w:r>
          </w:p>
        </w:tc>
        <w:tc>
          <w:tcPr>
            <w:tcW w:type="dxa" w:w="2436"/>
            <w:vAlign w:val="top"/>
          </w:tcPr>
          <w:p>
            <w:r>
              <w:rPr>
                <w:rFonts w:ascii="Times New Roman" w:hAnsi="Times New Roman"/>
                <w:sz w:val="18"/>
              </w:rPr>
              <w:t>11.200,00 EUR</w:t>
            </w:r>
          </w:p>
        </w:tc>
        <w:tc>
          <w:tcPr>
            <w:tcW w:type="dxa" w:w="2436"/>
            <w:vAlign w:val="top"/>
          </w:tcPr>
          <w:p>
            <w:r>
              <w:rPr>
                <w:rFonts w:ascii="Times New Roman" w:hAnsi="Times New Roman"/>
                <w:sz w:val="18"/>
              </w:rPr>
              <w:t>3.761,32 EUR</w:t>
            </w:r>
          </w:p>
        </w:tc>
        <w:tc>
          <w:tcPr>
            <w:tcW w:type="dxa" w:w="2436"/>
            <w:vAlign w:val="top"/>
          </w:tcPr>
          <w:p>
            <w:r>
              <w:rPr>
                <w:rFonts w:ascii="Times New Roman" w:hAnsi="Times New Roman"/>
                <w:sz w:val="18"/>
              </w:rPr>
              <w:t>festgestellt; Auszahlung gesperrt bis Freigabe</w:t>
            </w:r>
          </w:p>
        </w:tc>
      </w:tr>
      <w:tr>
        <w:tc>
          <w:tcPr>
            <w:tcW w:type="dxa" w:w="2436"/>
            <w:vAlign w:val="top"/>
          </w:tcPr>
          <w:p>
            <w:r>
              <w:rPr>
                <w:rFonts w:ascii="Times New Roman" w:hAnsi="Times New Roman"/>
                <w:sz w:val="18"/>
              </w:rPr>
              <w:t>Summe</w:t>
            </w:r>
          </w:p>
        </w:tc>
        <w:tc>
          <w:tcPr>
            <w:tcW w:type="dxa" w:w="2436"/>
            <w:vAlign w:val="top"/>
          </w:tcPr>
          <w:p>
            <w:r>
              <w:rPr>
                <w:rFonts w:ascii="Times New Roman" w:hAnsi="Times New Roman"/>
                <w:sz w:val="18"/>
              </w:rPr>
              <w:t>862.900,00 EUR</w:t>
            </w:r>
          </w:p>
        </w:tc>
        <w:tc>
          <w:tcPr>
            <w:tcW w:type="dxa" w:w="2436"/>
            <w:vAlign w:val="top"/>
          </w:tcPr>
          <w:p>
            <w:r>
              <w:rPr>
                <w:rFonts w:ascii="Times New Roman" w:hAnsi="Times New Roman"/>
                <w:sz w:val="18"/>
              </w:rPr>
              <w:t>289.790,00 EUR</w:t>
            </w:r>
          </w:p>
        </w:tc>
        <w:tc>
          <w:tcPr>
            <w:tcW w:type="dxa" w:w="2436"/>
            <w:vAlign w:val="top"/>
          </w:tcPr>
          <w:p>
            <w:r>
              <w:rPr>
                <w:rFonts w:ascii="Times New Roman" w:hAnsi="Times New Roman"/>
                <w:sz w:val="18"/>
              </w:rPr>
              <w:t>Kontrollsumme stimmt</w:t>
            </w:r>
          </w:p>
        </w:tc>
      </w:tr>
    </w:tbl>
    <w:p/>
    <w:p>
      <w:pPr>
        <w:pStyle w:val="Heading1"/>
      </w:pPr>
      <w:r>
        <w:t>3. Nicht einbezogene Ansprüche</w:t>
      </w:r>
    </w:p>
    <w:p>
      <w:pPr>
        <w:spacing w:after="120"/>
      </w:pPr>
      <w:r>
        <w:t>Die Forderung M. Kordes über 7.800,00 EUR ist vollständig bestritten und ohne fristgerechten Nachweis. Die Forderung Tim Brauer über 120.000,00 EUR ist nachrangig. Beide Positionen bleiben in der Akte sichtbar, sind aber nicht Teil der aktuellen Verteilungsbasis.</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Schlussverzeichnis</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