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Vollzugsprotokoll der Schlussverteilung</w:t>
      </w:r>
    </w:p>
    <w:p>
      <w:pPr>
        <w:jc w:val="center"/>
      </w:pPr>
      <w:r>
        <w:rPr>
          <w:b/>
        </w:rPr>
        <w:t>Möbelwerk Havelberg GmbH – Zahlungslauf 10. März 2027</w:t>
      </w:r>
    </w:p>
    <w:tbl>
      <w:tblPr>
        <w:tblStyle w:val="TableGrid"/>
        <w:tblW w:type="auto" w:w="0"/>
        <w:jc w:val="center"/>
        <w:tblLook w:firstColumn="1" w:firstRow="1" w:lastColumn="0" w:lastRow="0" w:noHBand="0" w:noVBand="1" w:val="04A0"/>
      </w:tblPr>
      <w:tblGrid>
        <w:gridCol w:w="4872"/>
        <w:gridCol w:w="4872"/>
      </w:tblGrid>
      <w:tr>
        <w:tc>
          <w:tcPr>
            <w:tcW w:type="dxa" w:w="2835"/>
            <w:shd w:fill="D9EAF7"/>
          </w:tcPr>
          <w:p>
            <w:r>
              <w:rPr>
                <w:rFonts w:ascii="Times New Roman" w:hAnsi="Times New Roman"/>
                <w:b/>
                <w:sz w:val="20"/>
              </w:rPr>
              <w:t>Verfahrensangabe</w:t>
            </w:r>
          </w:p>
        </w:tc>
        <w:tc>
          <w:tcPr>
            <w:tcW w:type="dxa" w:w="6236"/>
            <w:shd w:fill="D9EAF7"/>
          </w:tcPr>
          <w:p>
            <w:r>
              <w:rPr>
                <w:rFonts w:ascii="Times New Roman" w:hAnsi="Times New Roman"/>
                <w:b/>
                <w:sz w:val="20"/>
              </w:rPr>
              <w:t>Wert</w:t>
            </w:r>
          </w:p>
        </w:tc>
      </w:tr>
      <w:tr>
        <w:tc>
          <w:tcPr>
            <w:tcW w:type="dxa" w:w="2835"/>
            <w:vAlign w:val="top"/>
          </w:tcPr>
          <w:p>
            <w:r>
              <w:rPr>
                <w:rFonts w:ascii="Times New Roman" w:hAnsi="Times New Roman"/>
                <w:sz w:val="18"/>
              </w:rPr>
              <w:t>Insolvenzgericht</w:t>
            </w:r>
          </w:p>
        </w:tc>
        <w:tc>
          <w:tcPr>
            <w:tcW w:type="dxa" w:w="6236"/>
            <w:vAlign w:val="top"/>
          </w:tcPr>
          <w:p>
            <w:r>
              <w:rPr>
                <w:rFonts w:ascii="Times New Roman" w:hAnsi="Times New Roman"/>
                <w:sz w:val="18"/>
              </w:rPr>
              <w:t>Amtsgericht Stendal</w:t>
            </w:r>
          </w:p>
        </w:tc>
      </w:tr>
      <w:tr>
        <w:tc>
          <w:tcPr>
            <w:tcW w:type="dxa" w:w="2835"/>
            <w:vAlign w:val="top"/>
          </w:tcPr>
          <w:p>
            <w:r>
              <w:rPr>
                <w:rFonts w:ascii="Times New Roman" w:hAnsi="Times New Roman"/>
                <w:sz w:val="18"/>
              </w:rPr>
              <w:t>Aktenzeichen</w:t>
            </w:r>
          </w:p>
        </w:tc>
        <w:tc>
          <w:tcPr>
            <w:tcW w:type="dxa" w:w="6236"/>
            <w:vAlign w:val="top"/>
          </w:tcPr>
          <w:p>
            <w:r>
              <w:rPr>
                <w:rFonts w:ascii="Times New Roman" w:hAnsi="Times New Roman"/>
                <w:sz w:val="18"/>
              </w:rPr>
              <w:t>7 IN 41/26</w:t>
            </w:r>
          </w:p>
        </w:tc>
      </w:tr>
      <w:tr>
        <w:tc>
          <w:tcPr>
            <w:tcW w:type="dxa" w:w="2835"/>
            <w:vAlign w:val="top"/>
          </w:tcPr>
          <w:p>
            <w:r>
              <w:rPr>
                <w:rFonts w:ascii="Times New Roman" w:hAnsi="Times New Roman"/>
                <w:sz w:val="18"/>
              </w:rPr>
              <w:t>Schuldnerin</w:t>
            </w:r>
          </w:p>
        </w:tc>
        <w:tc>
          <w:tcPr>
            <w:tcW w:type="dxa" w:w="6236"/>
            <w:vAlign w:val="top"/>
          </w:tcPr>
          <w:p>
            <w:r>
              <w:rPr>
                <w:rFonts w:ascii="Times New Roman" w:hAnsi="Times New Roman"/>
                <w:sz w:val="18"/>
              </w:rPr>
              <w:t>Möbelwerk Havelberg GmbH</w:t>
            </w:r>
          </w:p>
        </w:tc>
      </w:tr>
      <w:tr>
        <w:tc>
          <w:tcPr>
            <w:tcW w:type="dxa" w:w="2835"/>
            <w:vAlign w:val="top"/>
          </w:tcPr>
          <w:p>
            <w:r>
              <w:rPr>
                <w:rFonts w:ascii="Times New Roman" w:hAnsi="Times New Roman"/>
                <w:sz w:val="18"/>
              </w:rPr>
              <w:t>Insolvenzverwaltung</w:t>
            </w:r>
          </w:p>
        </w:tc>
        <w:tc>
          <w:tcPr>
            <w:tcW w:type="dxa" w:w="6236"/>
            <w:vAlign w:val="top"/>
          </w:tcPr>
          <w:p>
            <w:r>
              <w:rPr>
                <w:rFonts w:ascii="Times New Roman" w:hAnsi="Times New Roman"/>
                <w:sz w:val="18"/>
              </w:rPr>
              <w:t>Dr. Nora Westphal</w:t>
            </w:r>
          </w:p>
        </w:tc>
      </w:tr>
      <w:tr>
        <w:tc>
          <w:tcPr>
            <w:tcW w:type="dxa" w:w="2835"/>
            <w:vAlign w:val="top"/>
          </w:tcPr>
          <w:p>
            <w:r>
              <w:rPr>
                <w:rFonts w:ascii="Times New Roman" w:hAnsi="Times New Roman"/>
                <w:sz w:val="18"/>
              </w:rPr>
              <w:t>Datum</w:t>
            </w:r>
          </w:p>
        </w:tc>
        <w:tc>
          <w:tcPr>
            <w:tcW w:type="dxa" w:w="6236"/>
            <w:vAlign w:val="top"/>
          </w:tcPr>
          <w:p>
            <w:r>
              <w:rPr>
                <w:rFonts w:ascii="Times New Roman" w:hAnsi="Times New Roman"/>
                <w:sz w:val="18"/>
              </w:rPr>
              <w:t>12. März 2027</w:t>
            </w:r>
          </w:p>
        </w:tc>
      </w:tr>
      <w:tr>
        <w:tc>
          <w:tcPr>
            <w:tcW w:type="dxa" w:w="2835"/>
            <w:vAlign w:val="top"/>
          </w:tcPr>
          <w:p>
            <w:r>
              <w:rPr>
                <w:rFonts w:ascii="Times New Roman" w:hAnsi="Times New Roman"/>
                <w:sz w:val="18"/>
              </w:rPr>
              <w:t>Gegenstand</w:t>
            </w:r>
          </w:p>
        </w:tc>
        <w:tc>
          <w:tcPr>
            <w:tcW w:type="dxa" w:w="6236"/>
            <w:vAlign w:val="top"/>
          </w:tcPr>
          <w:p>
            <w:r>
              <w:rPr>
                <w:rFonts w:ascii="Times New Roman" w:hAnsi="Times New Roman"/>
                <w:sz w:val="18"/>
              </w:rPr>
              <w:t>Freigabe, Auszahlung und Rückläuferkontrolle</w:t>
            </w:r>
          </w:p>
        </w:tc>
      </w:tr>
    </w:tbl>
    <w:p/>
    <w:p>
      <w:pPr>
        <w:pStyle w:val="Heading1"/>
      </w:pPr>
      <w:r>
        <w:t>1. Zahlungsfreigabe</w:t>
      </w:r>
    </w:p>
    <w:p>
      <w:pPr>
        <w:spacing w:after="120"/>
      </w:pPr>
      <w:r>
        <w:t>Nach dem Schlusstermin wurden die gerichtliche Tabelle, das Schlussverzeichnis und die Kontodaten erneut abgeglichen. Dr. Nora Westphal gab den Zahlungslauf am 10. März 2027 um 08:45 Uhr frei. Die technische Datei wurde durch die Sachbearbeitung erstellt und vor Bankübertragung unverändert gegen die freigegebene Summenliste geprüft.</w:t>
      </w:r>
    </w:p>
    <w:p>
      <w:pPr>
        <w:pStyle w:val="Heading1"/>
      </w:pPr>
      <w:r>
        <w:t>2. Auszahlungen</w:t>
      </w:r>
    </w:p>
    <w:tbl>
      <w:tblPr>
        <w:tblStyle w:val="TableGrid"/>
        <w:tblW w:type="auto" w:w="0"/>
        <w:jc w:val="center"/>
        <w:tblLook w:firstColumn="1" w:firstRow="1" w:lastColumn="0" w:lastRow="0" w:noHBand="0" w:noVBand="1" w:val="04A0"/>
      </w:tblPr>
      <w:tblGrid>
        <w:gridCol w:w="3248"/>
        <w:gridCol w:w="3248"/>
        <w:gridCol w:w="3248"/>
      </w:tblGrid>
      <w:tr>
        <w:tc>
          <w:tcPr>
            <w:tcW w:type="dxa" w:w="3248"/>
            <w:shd w:fill="D9EAF7"/>
          </w:tcPr>
          <w:p>
            <w:r>
              <w:rPr>
                <w:rFonts w:ascii="Times New Roman" w:hAnsi="Times New Roman"/>
                <w:b/>
                <w:sz w:val="20"/>
              </w:rPr>
              <w:t>Gläubiger</w:t>
            </w:r>
          </w:p>
        </w:tc>
        <w:tc>
          <w:tcPr>
            <w:tcW w:type="dxa" w:w="3248"/>
            <w:shd w:fill="D9EAF7"/>
          </w:tcPr>
          <w:p>
            <w:r>
              <w:rPr>
                <w:rFonts w:ascii="Times New Roman" w:hAnsi="Times New Roman"/>
                <w:b/>
                <w:sz w:val="20"/>
              </w:rPr>
              <w:t>Auszahlung</w:t>
            </w:r>
          </w:p>
        </w:tc>
        <w:tc>
          <w:tcPr>
            <w:tcW w:type="dxa" w:w="3248"/>
            <w:shd w:fill="D9EAF7"/>
          </w:tcPr>
          <w:p>
            <w:r>
              <w:rPr>
                <w:rFonts w:ascii="Times New Roman" w:hAnsi="Times New Roman"/>
                <w:b/>
                <w:sz w:val="20"/>
              </w:rPr>
              <w:t>Status</w:t>
            </w:r>
          </w:p>
        </w:tc>
      </w:tr>
      <w:tr>
        <w:tc>
          <w:tcPr>
            <w:tcW w:type="dxa" w:w="3248"/>
            <w:vAlign w:val="top"/>
          </w:tcPr>
          <w:p>
            <w:r>
              <w:rPr>
                <w:rFonts w:ascii="Times New Roman" w:hAnsi="Times New Roman"/>
                <w:sz w:val="18"/>
              </w:rPr>
              <w:t>Furnier Nord GmbH</w:t>
            </w:r>
          </w:p>
        </w:tc>
        <w:tc>
          <w:tcPr>
            <w:tcW w:type="dxa" w:w="3248"/>
            <w:vAlign w:val="top"/>
          </w:tcPr>
          <w:p>
            <w:r>
              <w:rPr>
                <w:rFonts w:ascii="Times New Roman" w:hAnsi="Times New Roman"/>
                <w:sz w:val="18"/>
              </w:rPr>
              <w:t>62.605,92 EUR</w:t>
            </w:r>
          </w:p>
        </w:tc>
        <w:tc>
          <w:tcPr>
            <w:tcW w:type="dxa" w:w="3248"/>
            <w:vAlign w:val="top"/>
          </w:tcPr>
          <w:p>
            <w:r>
              <w:rPr>
                <w:rFonts w:ascii="Times New Roman" w:hAnsi="Times New Roman"/>
                <w:sz w:val="18"/>
              </w:rPr>
              <w:t>ausgeführt; kein Rückläufer</w:t>
            </w:r>
          </w:p>
        </w:tc>
      </w:tr>
      <w:tr>
        <w:tc>
          <w:tcPr>
            <w:tcW w:type="dxa" w:w="3248"/>
            <w:vAlign w:val="top"/>
          </w:tcPr>
          <w:p>
            <w:r>
              <w:rPr>
                <w:rFonts w:ascii="Times New Roman" w:hAnsi="Times New Roman"/>
                <w:sz w:val="18"/>
              </w:rPr>
              <w:t>Havelbank eG – Ausfall</w:t>
            </w:r>
          </w:p>
        </w:tc>
        <w:tc>
          <w:tcPr>
            <w:tcW w:type="dxa" w:w="3248"/>
            <w:vAlign w:val="top"/>
          </w:tcPr>
          <w:p>
            <w:r>
              <w:rPr>
                <w:rFonts w:ascii="Times New Roman" w:hAnsi="Times New Roman"/>
                <w:sz w:val="18"/>
              </w:rPr>
              <w:t>45.841,16 EUR</w:t>
            </w:r>
          </w:p>
        </w:tc>
        <w:tc>
          <w:tcPr>
            <w:tcW w:type="dxa" w:w="3248"/>
            <w:vAlign w:val="top"/>
          </w:tcPr>
          <w:p>
            <w:r>
              <w:rPr>
                <w:rFonts w:ascii="Times New Roman" w:hAnsi="Times New Roman"/>
                <w:sz w:val="18"/>
              </w:rPr>
              <w:t>ausgeführt; kein Rückläufer</w:t>
            </w:r>
          </w:p>
        </w:tc>
      </w:tr>
      <w:tr>
        <w:tc>
          <w:tcPr>
            <w:tcW w:type="dxa" w:w="3248"/>
            <w:vAlign w:val="top"/>
          </w:tcPr>
          <w:p>
            <w:r>
              <w:rPr>
                <w:rFonts w:ascii="Times New Roman" w:hAnsi="Times New Roman"/>
                <w:sz w:val="18"/>
              </w:rPr>
              <w:t>Finanzamt Stendal</w:t>
            </w:r>
          </w:p>
        </w:tc>
        <w:tc>
          <w:tcPr>
            <w:tcW w:type="dxa" w:w="3248"/>
            <w:vAlign w:val="top"/>
          </w:tcPr>
          <w:p>
            <w:r>
              <w:rPr>
                <w:rFonts w:ascii="Times New Roman" w:hAnsi="Times New Roman"/>
                <w:sz w:val="18"/>
              </w:rPr>
              <w:t>31.010,79 EUR</w:t>
            </w:r>
          </w:p>
        </w:tc>
        <w:tc>
          <w:tcPr>
            <w:tcW w:type="dxa" w:w="3248"/>
            <w:vAlign w:val="top"/>
          </w:tcPr>
          <w:p>
            <w:r>
              <w:rPr>
                <w:rFonts w:ascii="Times New Roman" w:hAnsi="Times New Roman"/>
                <w:sz w:val="18"/>
              </w:rPr>
              <w:t>ausgeführt; kein Rückläufer</w:t>
            </w:r>
          </w:p>
        </w:tc>
      </w:tr>
      <w:tr>
        <w:tc>
          <w:tcPr>
            <w:tcW w:type="dxa" w:w="3248"/>
            <w:vAlign w:val="top"/>
          </w:tcPr>
          <w:p>
            <w:r>
              <w:rPr>
                <w:rFonts w:ascii="Times New Roman" w:hAnsi="Times New Roman"/>
                <w:sz w:val="18"/>
              </w:rPr>
              <w:t>AOK Sachsen-Anhalt</w:t>
            </w:r>
          </w:p>
        </w:tc>
        <w:tc>
          <w:tcPr>
            <w:tcW w:type="dxa" w:w="3248"/>
            <w:vAlign w:val="top"/>
          </w:tcPr>
          <w:p>
            <w:r>
              <w:rPr>
                <w:rFonts w:ascii="Times New Roman" w:hAnsi="Times New Roman"/>
                <w:sz w:val="18"/>
              </w:rPr>
              <w:t>20.552,96 EUR</w:t>
            </w:r>
          </w:p>
        </w:tc>
        <w:tc>
          <w:tcPr>
            <w:tcW w:type="dxa" w:w="3248"/>
            <w:vAlign w:val="top"/>
          </w:tcPr>
          <w:p>
            <w:r>
              <w:rPr>
                <w:rFonts w:ascii="Times New Roman" w:hAnsi="Times New Roman"/>
                <w:sz w:val="18"/>
              </w:rPr>
              <w:t>ausgeführt; kein Rückläufer</w:t>
            </w:r>
          </w:p>
        </w:tc>
      </w:tr>
      <w:tr>
        <w:tc>
          <w:tcPr>
            <w:tcW w:type="dxa" w:w="3248"/>
            <w:vAlign w:val="top"/>
          </w:tcPr>
          <w:p>
            <w:r>
              <w:rPr>
                <w:rFonts w:ascii="Times New Roman" w:hAnsi="Times New Roman"/>
                <w:sz w:val="18"/>
              </w:rPr>
              <w:t>Prignitz Forst KG</w:t>
            </w:r>
          </w:p>
        </w:tc>
        <w:tc>
          <w:tcPr>
            <w:tcW w:type="dxa" w:w="3248"/>
            <w:vAlign w:val="top"/>
          </w:tcPr>
          <w:p>
            <w:r>
              <w:rPr>
                <w:rFonts w:ascii="Times New Roman" w:hAnsi="Times New Roman"/>
                <w:sz w:val="18"/>
              </w:rPr>
              <w:t>14.675,89 EUR</w:t>
            </w:r>
          </w:p>
        </w:tc>
        <w:tc>
          <w:tcPr>
            <w:tcW w:type="dxa" w:w="3248"/>
            <w:vAlign w:val="top"/>
          </w:tcPr>
          <w:p>
            <w:r>
              <w:rPr>
                <w:rFonts w:ascii="Times New Roman" w:hAnsi="Times New Roman"/>
                <w:sz w:val="18"/>
              </w:rPr>
              <w:t>ausgeführt; kein Rückläufer</w:t>
            </w:r>
          </w:p>
        </w:tc>
      </w:tr>
      <w:tr>
        <w:tc>
          <w:tcPr>
            <w:tcW w:type="dxa" w:w="3248"/>
            <w:vAlign w:val="top"/>
          </w:tcPr>
          <w:p>
            <w:r>
              <w:rPr>
                <w:rFonts w:ascii="Times New Roman" w:hAnsi="Times New Roman"/>
                <w:sz w:val="18"/>
              </w:rPr>
              <w:t>Holzbauer GmbH &amp; Co. KG</w:t>
            </w:r>
          </w:p>
        </w:tc>
        <w:tc>
          <w:tcPr>
            <w:tcW w:type="dxa" w:w="3248"/>
            <w:vAlign w:val="top"/>
          </w:tcPr>
          <w:p>
            <w:r>
              <w:rPr>
                <w:rFonts w:ascii="Times New Roman" w:hAnsi="Times New Roman"/>
                <w:sz w:val="18"/>
              </w:rPr>
              <w:t>9.436,90 EUR</w:t>
            </w:r>
          </w:p>
        </w:tc>
        <w:tc>
          <w:tcPr>
            <w:tcW w:type="dxa" w:w="3248"/>
            <w:vAlign w:val="top"/>
          </w:tcPr>
          <w:p>
            <w:r>
              <w:rPr>
                <w:rFonts w:ascii="Times New Roman" w:hAnsi="Times New Roman"/>
                <w:sz w:val="18"/>
              </w:rPr>
              <w:t>ausgeführt; kein Rückläufer</w:t>
            </w:r>
          </w:p>
        </w:tc>
      </w:tr>
      <w:tr>
        <w:tc>
          <w:tcPr>
            <w:tcW w:type="dxa" w:w="3248"/>
            <w:vAlign w:val="top"/>
          </w:tcPr>
          <w:p>
            <w:r>
              <w:rPr>
                <w:rFonts w:ascii="Times New Roman" w:hAnsi="Times New Roman"/>
                <w:sz w:val="18"/>
              </w:rPr>
              <w:t>Beschlagwerk Elbe AG</w:t>
            </w:r>
          </w:p>
        </w:tc>
        <w:tc>
          <w:tcPr>
            <w:tcW w:type="dxa" w:w="3248"/>
            <w:vAlign w:val="top"/>
          </w:tcPr>
          <w:p>
            <w:r>
              <w:rPr>
                <w:rFonts w:ascii="Times New Roman" w:hAnsi="Times New Roman"/>
                <w:sz w:val="18"/>
              </w:rPr>
              <w:t>6.528,58 EUR</w:t>
            </w:r>
          </w:p>
        </w:tc>
        <w:tc>
          <w:tcPr>
            <w:tcW w:type="dxa" w:w="3248"/>
            <w:vAlign w:val="top"/>
          </w:tcPr>
          <w:p>
            <w:r>
              <w:rPr>
                <w:rFonts w:ascii="Times New Roman" w:hAnsi="Times New Roman"/>
                <w:sz w:val="18"/>
              </w:rPr>
              <w:t>ausgeführt; kein Rückläufer</w:t>
            </w:r>
          </w:p>
        </w:tc>
      </w:tr>
      <w:tr>
        <w:tc>
          <w:tcPr>
            <w:tcW w:type="dxa" w:w="3248"/>
            <w:vAlign w:val="top"/>
          </w:tcPr>
          <w:p>
            <w:r>
              <w:rPr>
                <w:rFonts w:ascii="Times New Roman" w:hAnsi="Times New Roman"/>
                <w:sz w:val="18"/>
              </w:rPr>
              <w:t>Havelstrom GbR</w:t>
            </w:r>
          </w:p>
        </w:tc>
        <w:tc>
          <w:tcPr>
            <w:tcW w:type="dxa" w:w="3248"/>
            <w:vAlign w:val="top"/>
          </w:tcPr>
          <w:p>
            <w:r>
              <w:rPr>
                <w:rFonts w:ascii="Times New Roman" w:hAnsi="Times New Roman"/>
                <w:sz w:val="18"/>
              </w:rPr>
              <w:t>16.119,97 EUR</w:t>
            </w:r>
          </w:p>
        </w:tc>
        <w:tc>
          <w:tcPr>
            <w:tcW w:type="dxa" w:w="3248"/>
            <w:vAlign w:val="top"/>
          </w:tcPr>
          <w:p>
            <w:r>
              <w:rPr>
                <w:rFonts w:ascii="Times New Roman" w:hAnsi="Times New Roman"/>
                <w:sz w:val="18"/>
              </w:rPr>
              <w:t>ausgeführt; kein Rückläufer</w:t>
            </w:r>
          </w:p>
        </w:tc>
      </w:tr>
      <w:tr>
        <w:tc>
          <w:tcPr>
            <w:tcW w:type="dxa" w:w="3248"/>
            <w:vAlign w:val="top"/>
          </w:tcPr>
          <w:p>
            <w:r>
              <w:rPr>
                <w:rFonts w:ascii="Times New Roman" w:hAnsi="Times New Roman"/>
                <w:sz w:val="18"/>
              </w:rPr>
              <w:t>Arbeitnehmerforderungen</w:t>
            </w:r>
          </w:p>
        </w:tc>
        <w:tc>
          <w:tcPr>
            <w:tcW w:type="dxa" w:w="3248"/>
            <w:vAlign w:val="top"/>
          </w:tcPr>
          <w:p>
            <w:r>
              <w:rPr>
                <w:rFonts w:ascii="Times New Roman" w:hAnsi="Times New Roman"/>
                <w:sz w:val="18"/>
              </w:rPr>
              <w:t>79.256,51 EUR</w:t>
            </w:r>
          </w:p>
        </w:tc>
        <w:tc>
          <w:tcPr>
            <w:tcW w:type="dxa" w:w="3248"/>
            <w:vAlign w:val="top"/>
          </w:tcPr>
          <w:p>
            <w:r>
              <w:rPr>
                <w:rFonts w:ascii="Times New Roman" w:hAnsi="Times New Roman"/>
                <w:sz w:val="18"/>
              </w:rPr>
              <w:t>ausgeführt; kein Rückläufer</w:t>
            </w:r>
          </w:p>
        </w:tc>
      </w:tr>
      <w:tr>
        <w:tc>
          <w:tcPr>
            <w:tcW w:type="dxa" w:w="3248"/>
            <w:vAlign w:val="top"/>
          </w:tcPr>
          <w:p>
            <w:r>
              <w:rPr>
                <w:rFonts w:ascii="Times New Roman" w:hAnsi="Times New Roman"/>
                <w:sz w:val="18"/>
              </w:rPr>
              <w:t>Würtl-Leasing GmbH</w:t>
            </w:r>
          </w:p>
        </w:tc>
        <w:tc>
          <w:tcPr>
            <w:tcW w:type="dxa" w:w="3248"/>
            <w:vAlign w:val="top"/>
          </w:tcPr>
          <w:p>
            <w:r>
              <w:rPr>
                <w:rFonts w:ascii="Times New Roman" w:hAnsi="Times New Roman"/>
                <w:sz w:val="18"/>
              </w:rPr>
              <w:t>3.761,32 EUR</w:t>
            </w:r>
          </w:p>
        </w:tc>
        <w:tc>
          <w:tcPr>
            <w:tcW w:type="dxa" w:w="3248"/>
            <w:vAlign w:val="top"/>
          </w:tcPr>
          <w:p>
            <w:r>
              <w:rPr>
                <w:rFonts w:ascii="Times New Roman" w:hAnsi="Times New Roman"/>
                <w:sz w:val="18"/>
              </w:rPr>
              <w:t>ausgeführt; kein Rückläufer</w:t>
            </w:r>
          </w:p>
        </w:tc>
      </w:tr>
      <w:tr>
        <w:tc>
          <w:tcPr>
            <w:tcW w:type="dxa" w:w="3248"/>
            <w:vAlign w:val="top"/>
          </w:tcPr>
          <w:p>
            <w:r>
              <w:rPr>
                <w:rFonts w:ascii="Times New Roman" w:hAnsi="Times New Roman"/>
                <w:sz w:val="18"/>
              </w:rPr>
              <w:t>Summe</w:t>
            </w:r>
          </w:p>
        </w:tc>
        <w:tc>
          <w:tcPr>
            <w:tcW w:type="dxa" w:w="3248"/>
            <w:vAlign w:val="top"/>
          </w:tcPr>
          <w:p>
            <w:r>
              <w:rPr>
                <w:rFonts w:ascii="Times New Roman" w:hAnsi="Times New Roman"/>
                <w:sz w:val="18"/>
              </w:rPr>
              <w:t>289.790,00 EUR</w:t>
            </w:r>
          </w:p>
        </w:tc>
        <w:tc>
          <w:tcPr>
            <w:tcW w:type="dxa" w:w="3248"/>
            <w:vAlign w:val="top"/>
          </w:tcPr>
          <w:p>
            <w:r>
              <w:rPr>
                <w:rFonts w:ascii="Times New Roman" w:hAnsi="Times New Roman"/>
                <w:sz w:val="18"/>
              </w:rPr>
              <w:t>vollständig ausgekehrt</w:t>
            </w:r>
          </w:p>
        </w:tc>
      </w:tr>
    </w:tbl>
    <w:p/>
    <w:p>
      <w:pPr>
        <w:pStyle w:val="Heading1"/>
      </w:pPr>
      <w:r>
        <w:t>3. Kontenabschluss</w:t>
      </w:r>
    </w:p>
    <w:p>
      <w:pPr>
        <w:spacing w:after="120"/>
      </w:pPr>
      <w:r>
        <w:t>Der Kontoauszug vom 11. März 2027 weist die Sammelüberweisungen aus. Rückläufer sind bis zum Kontrollzeitpunkt 12. März 2027 nicht eingetreten. Das für die Schlussverteilung bestimmte Guthaben ist vollständig ausgekehrt. Das Sicherheitenkonto war bereits zuvor auf 0,00 EUR abgeschlossen.</w:t>
      </w:r>
    </w:p>
    <w:sectPr w:rsidR="00FC693F" w:rsidRPr="0006063C" w:rsidSect="00034616">
      <w:pgSz w:w="12240" w:h="15840"/>
      <w:pgMar w:top="1191" w:right="1191"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Vollzugsprotokoll der Schlussverteilung</dc:title>
  <dc:subject>Insolvenzverwaltung</dc:subject>
  <dc:creator>Synthetische Testakte</dc:creator>
  <cp:keywords/>
  <dc:description>generated by python-docx</dc:description>
  <cp:lastModifiedBy/>
  <cp:revision>1</cp:revision>
  <dcterms:created xsi:type="dcterms:W3CDTF">2013-12-23T23:15:00Z</dcterms:created>
  <dcterms:modified xsi:type="dcterms:W3CDTF">2013-12-23T23:15:00Z</dcterms:modified>
  <cp:category/>
</cp:coreProperties>
</file>