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Schlussmitteilung</w:t>
      </w:r>
    </w:p>
    <w:p>
      <w:pPr>
        <w:jc w:val="center"/>
      </w:pPr>
      <w:r>
        <w:rPr>
          <w:b/>
        </w:rPr>
        <w:t>Möbelwerk Havelberg GmbH – AG Stendal 7 IN 41/26</w:t>
      </w:r>
    </w:p>
    <w:tbl>
      <w:tblPr>
        <w:tblStyle w:val="TableGrid"/>
        <w:tblW w:type="auto" w:w="0"/>
        <w:jc w:val="center"/>
        <w:tblLook w:firstColumn="1" w:firstRow="1" w:lastColumn="0" w:lastRow="0" w:noHBand="0" w:noVBand="1" w:val="04A0"/>
      </w:tblPr>
      <w:tblGrid>
        <w:gridCol w:w="4872"/>
        <w:gridCol w:w="4872"/>
      </w:tblGrid>
      <w:tr>
        <w:tc>
          <w:tcPr>
            <w:tcW w:type="dxa" w:w="2835"/>
            <w:shd w:fill="D9EAF7"/>
          </w:tcPr>
          <w:p>
            <w:r>
              <w:rPr>
                <w:rFonts w:ascii="Times New Roman" w:hAnsi="Times New Roman"/>
                <w:b/>
                <w:sz w:val="20"/>
              </w:rPr>
              <w:t>Verfahrensangabe</w:t>
            </w:r>
          </w:p>
        </w:tc>
        <w:tc>
          <w:tcPr>
            <w:tcW w:type="dxa" w:w="6236"/>
            <w:shd w:fill="D9EAF7"/>
          </w:tcPr>
          <w:p>
            <w:r>
              <w:rPr>
                <w:rFonts w:ascii="Times New Roman" w:hAnsi="Times New Roman"/>
                <w:b/>
                <w:sz w:val="20"/>
              </w:rPr>
              <w:t>Wert</w:t>
            </w:r>
          </w:p>
        </w:tc>
      </w:tr>
      <w:tr>
        <w:tc>
          <w:tcPr>
            <w:tcW w:type="dxa" w:w="2835"/>
            <w:vAlign w:val="top"/>
          </w:tcPr>
          <w:p>
            <w:r>
              <w:rPr>
                <w:rFonts w:ascii="Times New Roman" w:hAnsi="Times New Roman"/>
                <w:sz w:val="18"/>
              </w:rPr>
              <w:t>Insolvenzgericht</w:t>
            </w:r>
          </w:p>
        </w:tc>
        <w:tc>
          <w:tcPr>
            <w:tcW w:type="dxa" w:w="6236"/>
            <w:vAlign w:val="top"/>
          </w:tcPr>
          <w:p>
            <w:r>
              <w:rPr>
                <w:rFonts w:ascii="Times New Roman" w:hAnsi="Times New Roman"/>
                <w:sz w:val="18"/>
              </w:rPr>
              <w:t>Amtsgericht Stendal</w:t>
            </w:r>
          </w:p>
        </w:tc>
      </w:tr>
      <w:tr>
        <w:tc>
          <w:tcPr>
            <w:tcW w:type="dxa" w:w="2835"/>
            <w:vAlign w:val="top"/>
          </w:tcPr>
          <w:p>
            <w:r>
              <w:rPr>
                <w:rFonts w:ascii="Times New Roman" w:hAnsi="Times New Roman"/>
                <w:sz w:val="18"/>
              </w:rPr>
              <w:t>Aktenzeichen</w:t>
            </w:r>
          </w:p>
        </w:tc>
        <w:tc>
          <w:tcPr>
            <w:tcW w:type="dxa" w:w="6236"/>
            <w:vAlign w:val="top"/>
          </w:tcPr>
          <w:p>
            <w:r>
              <w:rPr>
                <w:rFonts w:ascii="Times New Roman" w:hAnsi="Times New Roman"/>
                <w:sz w:val="18"/>
              </w:rPr>
              <w:t>7 IN 41/26</w:t>
            </w:r>
          </w:p>
        </w:tc>
      </w:tr>
      <w:tr>
        <w:tc>
          <w:tcPr>
            <w:tcW w:type="dxa" w:w="2835"/>
            <w:vAlign w:val="top"/>
          </w:tcPr>
          <w:p>
            <w:r>
              <w:rPr>
                <w:rFonts w:ascii="Times New Roman" w:hAnsi="Times New Roman"/>
                <w:sz w:val="18"/>
              </w:rPr>
              <w:t>Schuldnerin</w:t>
            </w:r>
          </w:p>
        </w:tc>
        <w:tc>
          <w:tcPr>
            <w:tcW w:type="dxa" w:w="6236"/>
            <w:vAlign w:val="top"/>
          </w:tcPr>
          <w:p>
            <w:r>
              <w:rPr>
                <w:rFonts w:ascii="Times New Roman" w:hAnsi="Times New Roman"/>
                <w:sz w:val="18"/>
              </w:rPr>
              <w:t>Möbelwerk Havelberg GmbH</w:t>
            </w:r>
          </w:p>
        </w:tc>
      </w:tr>
      <w:tr>
        <w:tc>
          <w:tcPr>
            <w:tcW w:type="dxa" w:w="2835"/>
            <w:vAlign w:val="top"/>
          </w:tcPr>
          <w:p>
            <w:r>
              <w:rPr>
                <w:rFonts w:ascii="Times New Roman" w:hAnsi="Times New Roman"/>
                <w:sz w:val="18"/>
              </w:rPr>
              <w:t>Insolvenzverwaltung</w:t>
            </w:r>
          </w:p>
        </w:tc>
        <w:tc>
          <w:tcPr>
            <w:tcW w:type="dxa" w:w="6236"/>
            <w:vAlign w:val="top"/>
          </w:tcPr>
          <w:p>
            <w:r>
              <w:rPr>
                <w:rFonts w:ascii="Times New Roman" w:hAnsi="Times New Roman"/>
                <w:sz w:val="18"/>
              </w:rPr>
              <w:t>Dr. Nora Westphal</w:t>
            </w:r>
          </w:p>
        </w:tc>
      </w:tr>
      <w:tr>
        <w:tc>
          <w:tcPr>
            <w:tcW w:type="dxa" w:w="2835"/>
            <w:vAlign w:val="top"/>
          </w:tcPr>
          <w:p>
            <w:r>
              <w:rPr>
                <w:rFonts w:ascii="Times New Roman" w:hAnsi="Times New Roman"/>
                <w:sz w:val="18"/>
              </w:rPr>
              <w:t>Datum</w:t>
            </w:r>
          </w:p>
        </w:tc>
        <w:tc>
          <w:tcPr>
            <w:tcW w:type="dxa" w:w="6236"/>
            <w:vAlign w:val="top"/>
          </w:tcPr>
          <w:p>
            <w:r>
              <w:rPr>
                <w:rFonts w:ascii="Times New Roman" w:hAnsi="Times New Roman"/>
                <w:sz w:val="18"/>
              </w:rPr>
              <w:t>12. März 2027</w:t>
            </w:r>
          </w:p>
        </w:tc>
      </w:tr>
      <w:tr>
        <w:tc>
          <w:tcPr>
            <w:tcW w:type="dxa" w:w="2835"/>
            <w:vAlign w:val="top"/>
          </w:tcPr>
          <w:p>
            <w:r>
              <w:rPr>
                <w:rFonts w:ascii="Times New Roman" w:hAnsi="Times New Roman"/>
                <w:sz w:val="18"/>
              </w:rPr>
              <w:t>Gegenstand</w:t>
            </w:r>
          </w:p>
        </w:tc>
        <w:tc>
          <w:tcPr>
            <w:tcW w:type="dxa" w:w="6236"/>
            <w:vAlign w:val="top"/>
          </w:tcPr>
          <w:p>
            <w:r>
              <w:rPr>
                <w:rFonts w:ascii="Times New Roman" w:hAnsi="Times New Roman"/>
                <w:sz w:val="18"/>
              </w:rPr>
              <w:t>Vollzug der Schlussverteilung</w:t>
            </w:r>
          </w:p>
        </w:tc>
      </w:tr>
    </w:tbl>
    <w:p/>
    <w:p>
      <w:pPr>
        <w:pStyle w:val="Heading1"/>
      </w:pPr>
      <w:r>
        <w:t>1. Mitteilung</w:t>
      </w:r>
    </w:p>
    <w:p>
      <w:pPr>
        <w:spacing w:after="120"/>
      </w:pPr>
      <w:r>
        <w:t>Die Schlussverteilung ist vollständig vollzogen. Auf festgestellte Forderungen nach § 38 InsO von 862.900,00 EUR wurden insgesamt 289.790,00 EUR ausgekehrt. Die Auszahlungssumme stimmt mit dem Schlussverzeichnis und dem Massekonto überein.</w:t>
      </w:r>
    </w:p>
    <w:p>
      <w:pPr>
        <w:pStyle w:val="Heading1"/>
      </w:pPr>
      <w:r>
        <w:t>2. Anregung</w:t>
      </w:r>
    </w:p>
    <w:p>
      <w:pPr>
        <w:spacing w:after="120"/>
      </w:pPr>
      <w:r>
        <w:t>Es wird angeregt, das Verfahren gemäß § 200 InsO aufzuheben. Ein möglicher, derzeit nicht bestehender späterer Massezufluss ist nicht Bestandteil dieser Mitteilung und wäre gegebenenfalls in einem gesonderten Verfahren nach den §§ 203 bis 205 InsO zu prüfen.</w:t>
      </w:r>
    </w:p>
    <w:sectPr w:rsidR="00FC693F" w:rsidRPr="0006063C" w:rsidSect="00034616">
      <w:pgSz w:w="12240" w:h="15840"/>
      <w:pgMar w:top="1191" w:right="1191"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Schlussmitteilung</dc:title>
  <dc:subject>Insolvenzverwaltung</dc:subject>
  <dc:creator>Synthetische Testakte</dc:creator>
  <cp:keywords/>
  <dc:description>generated by python-docx</dc:description>
  <cp:lastModifiedBy/>
  <cp:revision>1</cp:revision>
  <dcterms:created xsi:type="dcterms:W3CDTF">2013-12-23T23:15:00Z</dcterms:created>
  <dcterms:modified xsi:type="dcterms:W3CDTF">2013-12-23T23:15:00Z</dcterms:modified>
  <cp:category/>
</cp:coreProperties>
</file>