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Prüfvermerk zu einer möglichen Nachtragsverteilung</w:t>
      </w:r>
    </w:p>
    <w:p>
      <w:pPr>
        <w:jc w:val="center"/>
      </w:pPr>
      <w:r>
        <w:rPr>
          <w:b/>
        </w:rPr>
        <w:t>Möbelwerk Havelberg GmbH – Übungszweig</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Stendal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7 IN 41/26</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Möbelwerk Havelberg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Nora Westphal</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30. September 2027</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Später Hinweis auf mögliche Versicherungsprämienerstattung</w:t>
            </w:r>
          </w:p>
        </w:tc>
      </w:tr>
    </w:tbl>
    <w:p/>
    <w:p>
      <w:pPr>
        <w:pStyle w:val="Heading1"/>
      </w:pPr>
      <w:r>
        <w:t>1. Hinweis</w:t>
      </w:r>
    </w:p>
    <w:p>
      <w:pPr>
        <w:spacing w:after="120"/>
      </w:pPr>
      <w:r>
        <w:t>Der frühere Versicherungsmakler teilte mit, dass aus der vorzeitigen Vertragsbeendigung möglicherweise eine Prämienerstattung entstehen könne. Ein Bescheid, eine Abrechnung oder ein Zahlungseingang liegt nicht vor. Der Hinweis wird daher nicht als Massezufluss gebucht.</w:t>
      </w:r>
    </w:p>
    <w:p>
      <w:pPr>
        <w:pStyle w:val="Heading1"/>
      </w:pPr>
      <w:r>
        <w:t>2. Prüfauftrag</w:t>
      </w:r>
    </w:p>
    <w:p>
      <w:pPr>
        <w:spacing w:after="120"/>
      </w:pPr>
      <w:r>
        <w:t>Zu klären sind Anspruchsinhaberin, Vertragszeitraum, Abrechnungsgrund, Betrag, Massezugehörigkeit und Verfügbarkeit. Erst ein belegter Massegegenstand kann Anlass für einen Antrag nach § 203 InsO sein. Der Bundesgerichtshof hat mit Beschluss vom 25. September 2025, IX ZB 13/25, Randnummern 7 bis 16 und 20 bis 22, entschieden, dass auch bekannte, irrtümlich oder tatsächlich nicht verwertete Massegegenstände Gegenstand einer Nachtragsverteilung sein können. Die Entscheidung ersetzt weder den Anspruchsnachweis noch die Prüfung der Massezugehörigkeit.</w:t>
      </w:r>
    </w:p>
    <w:p>
      <w:pPr>
        <w:pStyle w:val="Heading1"/>
      </w:pPr>
      <w:r>
        <w:t>3. Gate</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Prüffeld</w:t>
            </w:r>
          </w:p>
        </w:tc>
        <w:tc>
          <w:tcPr>
            <w:tcW w:type="dxa" w:w="3248"/>
            <w:shd w:fill="D9EAF7"/>
          </w:tcPr>
          <w:p>
            <w:r>
              <w:rPr>
                <w:rFonts w:ascii="Times New Roman" w:hAnsi="Times New Roman"/>
                <w:b/>
                <w:sz w:val="20"/>
              </w:rPr>
              <w:t>Status</w:t>
            </w:r>
          </w:p>
        </w:tc>
        <w:tc>
          <w:tcPr>
            <w:tcW w:type="dxa" w:w="3248"/>
            <w:shd w:fill="D9EAF7"/>
          </w:tcPr>
          <w:p>
            <w:r>
              <w:rPr>
                <w:rFonts w:ascii="Times New Roman" w:hAnsi="Times New Roman"/>
                <w:b/>
                <w:sz w:val="20"/>
              </w:rPr>
              <w:t>Folge</w:t>
            </w:r>
          </w:p>
        </w:tc>
      </w:tr>
      <w:tr>
        <w:tc>
          <w:tcPr>
            <w:tcW w:type="dxa" w:w="3248"/>
            <w:vAlign w:val="top"/>
          </w:tcPr>
          <w:p>
            <w:r>
              <w:rPr>
                <w:rFonts w:ascii="Times New Roman" w:hAnsi="Times New Roman"/>
                <w:sz w:val="18"/>
              </w:rPr>
              <w:t>Anspruchsnachweis</w:t>
            </w:r>
          </w:p>
        </w:tc>
        <w:tc>
          <w:tcPr>
            <w:tcW w:type="dxa" w:w="3248"/>
            <w:vAlign w:val="top"/>
          </w:tcPr>
          <w:p>
            <w:r>
              <w:rPr>
                <w:rFonts w:ascii="Times New Roman" w:hAnsi="Times New Roman"/>
                <w:sz w:val="18"/>
              </w:rPr>
              <w:t>offen</w:t>
            </w:r>
          </w:p>
        </w:tc>
        <w:tc>
          <w:tcPr>
            <w:tcW w:type="dxa" w:w="3248"/>
            <w:vAlign w:val="top"/>
          </w:tcPr>
          <w:p>
            <w:r>
              <w:rPr>
                <w:rFonts w:ascii="Times New Roman" w:hAnsi="Times New Roman"/>
                <w:sz w:val="18"/>
              </w:rPr>
              <w:t>Unterlagen anfordern</w:t>
            </w:r>
          </w:p>
        </w:tc>
      </w:tr>
      <w:tr>
        <w:tc>
          <w:tcPr>
            <w:tcW w:type="dxa" w:w="3248"/>
            <w:vAlign w:val="top"/>
          </w:tcPr>
          <w:p>
            <w:r>
              <w:rPr>
                <w:rFonts w:ascii="Times New Roman" w:hAnsi="Times New Roman"/>
                <w:sz w:val="18"/>
              </w:rPr>
              <w:t>Zahlungseingang</w:t>
            </w:r>
          </w:p>
        </w:tc>
        <w:tc>
          <w:tcPr>
            <w:tcW w:type="dxa" w:w="3248"/>
            <w:vAlign w:val="top"/>
          </w:tcPr>
          <w:p>
            <w:r>
              <w:rPr>
                <w:rFonts w:ascii="Times New Roman" w:hAnsi="Times New Roman"/>
                <w:sz w:val="18"/>
              </w:rPr>
              <w:t>nicht vorhanden</w:t>
            </w:r>
          </w:p>
        </w:tc>
        <w:tc>
          <w:tcPr>
            <w:tcW w:type="dxa" w:w="3248"/>
            <w:vAlign w:val="top"/>
          </w:tcPr>
          <w:p>
            <w:r>
              <w:rPr>
                <w:rFonts w:ascii="Times New Roman" w:hAnsi="Times New Roman"/>
                <w:sz w:val="18"/>
              </w:rPr>
              <w:t>keine Buchung</w:t>
            </w:r>
          </w:p>
        </w:tc>
      </w:tr>
      <w:tr>
        <w:tc>
          <w:tcPr>
            <w:tcW w:type="dxa" w:w="3248"/>
            <w:vAlign w:val="top"/>
          </w:tcPr>
          <w:p>
            <w:r>
              <w:rPr>
                <w:rFonts w:ascii="Times New Roman" w:hAnsi="Times New Roman"/>
                <w:sz w:val="18"/>
              </w:rPr>
              <w:t>Massezugehörigkeit</w:t>
            </w:r>
          </w:p>
        </w:tc>
        <w:tc>
          <w:tcPr>
            <w:tcW w:type="dxa" w:w="3248"/>
            <w:vAlign w:val="top"/>
          </w:tcPr>
          <w:p>
            <w:r>
              <w:rPr>
                <w:rFonts w:ascii="Times New Roman" w:hAnsi="Times New Roman"/>
                <w:sz w:val="18"/>
              </w:rPr>
              <w:t>offen</w:t>
            </w:r>
          </w:p>
        </w:tc>
        <w:tc>
          <w:tcPr>
            <w:tcW w:type="dxa" w:w="3248"/>
            <w:vAlign w:val="top"/>
          </w:tcPr>
          <w:p>
            <w:r>
              <w:rPr>
                <w:rFonts w:ascii="Times New Roman" w:hAnsi="Times New Roman"/>
                <w:sz w:val="18"/>
              </w:rPr>
              <w:t>rechtliche Prüfung</w:t>
            </w:r>
          </w:p>
        </w:tc>
      </w:tr>
      <w:tr>
        <w:tc>
          <w:tcPr>
            <w:tcW w:type="dxa" w:w="3248"/>
            <w:vAlign w:val="top"/>
          </w:tcPr>
          <w:p>
            <w:r>
              <w:rPr>
                <w:rFonts w:ascii="Times New Roman" w:hAnsi="Times New Roman"/>
                <w:sz w:val="18"/>
              </w:rPr>
              <w:t>Gerichtlicher Antrag</w:t>
            </w:r>
          </w:p>
        </w:tc>
        <w:tc>
          <w:tcPr>
            <w:tcW w:type="dxa" w:w="3248"/>
            <w:vAlign w:val="top"/>
          </w:tcPr>
          <w:p>
            <w:r>
              <w:rPr>
                <w:rFonts w:ascii="Times New Roman" w:hAnsi="Times New Roman"/>
                <w:sz w:val="18"/>
              </w:rPr>
              <w:t>gesperrt</w:t>
            </w:r>
          </w:p>
        </w:tc>
        <w:tc>
          <w:tcPr>
            <w:tcW w:type="dxa" w:w="3248"/>
            <w:vAlign w:val="top"/>
          </w:tcPr>
          <w:p>
            <w:r>
              <w:rPr>
                <w:rFonts w:ascii="Times New Roman" w:hAnsi="Times New Roman"/>
                <w:sz w:val="18"/>
              </w:rPr>
              <w:t>erst nach positivem Nachweis</w:t>
            </w:r>
          </w:p>
        </w:tc>
      </w:tr>
    </w:tbl>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Prüfvermerk zu einer möglichen Nachtragsverteilung</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