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Schlussverzeichnis</w:t>
      </w:r>
    </w:p>
    <w:p>
      <w:pPr>
        <w:jc w:val="center"/>
      </w:pPr>
      <w:r>
        <w:rPr>
          <w:b/>
        </w:rPr>
        <w:t>Nordlicht Handels GmbH – Stand 15. März 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Verfahrensangabe</w:t>
            </w:r>
          </w:p>
        </w:tc>
        <w:tc>
          <w:tcPr>
            <w:tcW w:type="dxa" w:w="623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Insolvenzgericht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Amtsgericht Kiel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Aktenzeichen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10 IN 127/13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Schuldnerin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Nordlicht Handels GmbH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Insolvenzverwaltung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Dr. Jens-Peter Hartmann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Datum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15. März 2024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Gegenstand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Verzeichnis für die Schlussverteilung</w:t>
            </w:r>
          </w:p>
        </w:tc>
      </w:tr>
    </w:tbl>
    <w:p/>
    <w:p>
      <w:pPr>
        <w:pStyle w:val="Heading1"/>
      </w:pPr>
      <w:r>
        <w:t>1. Rechenbasis</w:t>
      </w:r>
    </w:p>
    <w:p>
      <w:pPr>
        <w:spacing w:after="120"/>
      </w:pPr>
      <w:r>
        <w:t>Die Teilungsmasse beträgt 120.462,00 EUR. Die festgestellten Forderungen nach § 38 InsO betragen 509.842,00 EUR. Die Quote wird ungerundet berechnet und erst beim einzelnen Auszahlungsbetrag auf Cent abgerundet.</w:t>
      </w:r>
    </w:p>
    <w:p>
      <w:pPr>
        <w:pStyle w:val="Heading1"/>
      </w:pPr>
      <w:r>
        <w:t>2. Verzeichnis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Laufende Nummer und Gläubiger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Forderung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Auszahlung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1. Kieler Volksbank eG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214.302,00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50.633,82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festgestellt; zahlbar nach Freigabe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2. Fashion Forward KG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23.960,00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5.661,11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festgestellt; zahlbar nach Freigabe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3. DAK-Gesundheit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12.320,00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2.910,89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festgestellt; zahlbar nach Freigabe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4. IKK Nord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9.610,00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2.270,58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festgestellt; zahlbar nach Freigabe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5. Bundesagentur für Arbeit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84.220,00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19.898,93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festgestellt; zahlbar nach Freigabe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6. Übrige Lieferanten und sonstige Gläubiger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165.430,00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39.086,67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festgestellt; zahlbar nach Freigabe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Summe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509.842,00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120.462,00 EUR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Times New Roman" w:hAnsi="Times New Roman"/>
                <w:sz w:val="18"/>
              </w:rPr>
              <w:t>Kontrollsumme stimmt</w:t>
            </w:r>
          </w:p>
        </w:tc>
      </w:tr>
    </w:tbl>
    <w:p/>
    <w:p>
      <w:pPr>
        <w:pStyle w:val="Heading1"/>
      </w:pPr>
      <w:r>
        <w:t>3. Ausgeschlossene und gesondert geführte Positionen</w:t>
      </w:r>
    </w:p>
    <w:p>
      <w:pPr>
        <w:spacing w:after="120"/>
      </w:pPr>
      <w:r>
        <w:t>Vollständig bestrittene Forderungen ohne fristgerechten Nachweis werden nicht in die Verteilungsbasis eingestellt. Ein nachrangiger Anspruch würde erst nach vollständiger Befriedigung der Forderungen nach § 38 InsO berücksichtigt. Nach der Aktenprüfung liegt keine solche Auszahlungsvoraussetzung vor.</w:t>
      </w:r>
    </w:p>
    <w:sectPr w:rsidR="00FC693F" w:rsidRPr="0006063C" w:rsidSect="00034616"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Schlussverzeichnis</dc:title>
  <dc:subject>Insolvenzverwaltung</dc:subject>
  <dc:creator>Synthetische Testakte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