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Gerichtliche Verfügung zur Schlussverteilung</w:t>
      </w:r>
    </w:p>
    <w:p>
      <w:pPr>
        <w:jc w:val="center"/>
      </w:pPr>
      <w:r>
        <w:rPr>
          <w:b/>
        </w:rPr>
        <w:t>Synthetisches Aktenstück – AG Kiel 10 IN 127/13</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Kiel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10 IN 127/13</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Nordlicht Handels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Jens-Peter Hartmann</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22. März 2024</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Prüfung der Schlussrechnung und Zustimmung zur Schlussverteilung</w:t>
            </w:r>
          </w:p>
        </w:tc>
      </w:tr>
    </w:tbl>
    <w:p/>
    <w:p>
      <w:pPr>
        <w:pStyle w:val="Heading1"/>
      </w:pPr>
      <w:r>
        <w:t>1. Verfügung</w:t>
      </w:r>
    </w:p>
    <w:p>
      <w:pPr>
        <w:spacing w:after="120"/>
      </w:pPr>
      <w:r>
        <w:t>Die Schlussrechnung und das Schlussverzeichnis sind zur Akte genommen. Nach dem derzeitigen Prüfstand wird der Schlussverteilung gemäß § 196 Absatz 2 InsO zugestimmt. Der Verwalter hat vor Auszahlung Änderungen der Tabelle und fristgerechte Nachweise nach den §§ 189 bis 193 InsO zu berücksichtigen.</w:t>
      </w:r>
    </w:p>
    <w:p>
      <w:pPr>
        <w:pStyle w:val="Heading1"/>
      </w:pPr>
      <w:r>
        <w:t>2. Schlusstermin</w:t>
      </w:r>
    </w:p>
    <w:p>
      <w:pPr>
        <w:spacing w:after="120"/>
      </w:pPr>
      <w:r>
        <w:t>Der Schlusstermin wird auf den 19. April 2024 bestimmt. Gegenstand sind die Erörterung der Schlussrechnung, Einwendungen gegen das Schlussverzeichnis und die Entscheidung über nicht verwertbare Gegenstände. Die öffentliche Bekanntmachung und die Niederlegung der Unterlagen erfolgen gesondert.</w:t>
      </w:r>
    </w:p>
    <w:p>
      <w:pPr>
        <w:pStyle w:val="Heading1"/>
      </w:pPr>
      <w:r>
        <w:t>3. Vollzugsnachweis</w:t>
      </w:r>
    </w:p>
    <w:p>
      <w:pPr>
        <w:spacing w:after="120"/>
      </w:pPr>
      <w:r>
        <w:t>Der Verwalter reicht nach Auszahlung eine Summenliste, den Kontennachweis und eine Erklärung über den vollständigen Vollzug ein. Erst danach wird über die Aufhebung des Verfahrens entschieden.</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Gerichtliche Verfügung zur Schlussverteilung</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